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5222" w14:textId="77777777" w:rsidR="00DF4F36" w:rsidRPr="006C5B12" w:rsidRDefault="00DF4F36" w:rsidP="00DF4F36">
      <w:pPr>
        <w:pBdr>
          <w:top w:val="single" w:sz="4" w:space="1" w:color="auto"/>
          <w:left w:val="single" w:sz="4" w:space="4" w:color="auto"/>
          <w:bottom w:val="single" w:sz="4" w:space="1" w:color="auto"/>
          <w:right w:val="single" w:sz="4" w:space="4" w:color="auto"/>
        </w:pBdr>
        <w:spacing w:after="120" w:line="312" w:lineRule="auto"/>
        <w:ind w:left="142" w:right="139"/>
        <w:rPr>
          <w:b/>
          <w:color w:val="000000" w:themeColor="text1"/>
          <w:szCs w:val="20"/>
          <w:lang w:val="en-GB"/>
        </w:rPr>
      </w:pPr>
      <w:r w:rsidRPr="006C5B12">
        <w:rPr>
          <w:b/>
          <w:color w:val="000000" w:themeColor="text1"/>
          <w:szCs w:val="20"/>
          <w:lang w:val="en-GB"/>
        </w:rPr>
        <w:t>Disclaimer:</w:t>
      </w:r>
    </w:p>
    <w:p w14:paraId="44E0AC75" w14:textId="36E5A98E" w:rsidR="00DF4F36" w:rsidRPr="006C5B12" w:rsidRDefault="00172715" w:rsidP="00DF4F36">
      <w:pPr>
        <w:pBdr>
          <w:top w:val="single" w:sz="4" w:space="1" w:color="auto"/>
          <w:left w:val="single" w:sz="4" w:space="4" w:color="auto"/>
          <w:bottom w:val="single" w:sz="4" w:space="1" w:color="auto"/>
          <w:right w:val="single" w:sz="4" w:space="4" w:color="auto"/>
        </w:pBdr>
        <w:spacing w:after="120" w:line="312" w:lineRule="auto"/>
        <w:ind w:left="142" w:right="139"/>
        <w:rPr>
          <w:szCs w:val="20"/>
          <w:lang w:val="en-GB"/>
        </w:rPr>
      </w:pPr>
      <w:bookmarkStart w:id="0" w:name="_Hlk90468475"/>
      <w:r w:rsidRPr="00172715">
        <w:rPr>
          <w:color w:val="000000" w:themeColor="text1"/>
          <w:szCs w:val="20"/>
          <w:lang w:val="en-GB"/>
        </w:rPr>
        <w:t xml:space="preserve">This document was prepared by the Ad Hoc Commission </w:t>
      </w:r>
      <w:r w:rsidR="0017185D">
        <w:rPr>
          <w:color w:val="000000" w:themeColor="text1"/>
          <w:szCs w:val="20"/>
          <w:lang w:val="en-GB"/>
        </w:rPr>
        <w:t>“</w:t>
      </w:r>
      <w:r w:rsidRPr="00172715">
        <w:rPr>
          <w:color w:val="000000" w:themeColor="text1"/>
          <w:szCs w:val="20"/>
          <w:lang w:val="en-GB"/>
        </w:rPr>
        <w:t>In Vitro Diagnostic</w:t>
      </w:r>
      <w:r>
        <w:rPr>
          <w:color w:val="000000" w:themeColor="text1"/>
          <w:szCs w:val="20"/>
          <w:lang w:val="en-GB"/>
        </w:rPr>
        <w:t xml:space="preserve"> Medical Devices</w:t>
      </w:r>
      <w:r w:rsidR="0017185D">
        <w:rPr>
          <w:color w:val="000000" w:themeColor="text1"/>
          <w:szCs w:val="20"/>
          <w:lang w:val="en-GB"/>
        </w:rPr>
        <w:t>”</w:t>
      </w:r>
      <w:r w:rsidRPr="00172715">
        <w:rPr>
          <w:color w:val="000000" w:themeColor="text1"/>
          <w:szCs w:val="20"/>
          <w:lang w:val="en-GB"/>
        </w:rPr>
        <w:t xml:space="preserve"> of the </w:t>
      </w:r>
      <w:r w:rsidRPr="00172715">
        <w:rPr>
          <w:i/>
          <w:iCs/>
          <w:color w:val="000000" w:themeColor="text1"/>
          <w:szCs w:val="20"/>
          <w:lang w:val="en-GB"/>
        </w:rPr>
        <w:t>Association of the Scientific Medical Societies in Germany</w:t>
      </w:r>
      <w:r w:rsidRPr="00172715">
        <w:rPr>
          <w:color w:val="000000" w:themeColor="text1"/>
          <w:szCs w:val="20"/>
          <w:lang w:val="en-GB"/>
        </w:rPr>
        <w:t xml:space="preserve"> (AWMF)</w:t>
      </w:r>
      <w:r>
        <w:rPr>
          <w:color w:val="000000" w:themeColor="text1"/>
          <w:szCs w:val="20"/>
          <w:lang w:val="en-GB"/>
        </w:rPr>
        <w:t xml:space="preserve"> </w:t>
      </w:r>
      <w:r w:rsidR="004D45AE">
        <w:rPr>
          <w:color w:val="000000" w:themeColor="text1"/>
          <w:szCs w:val="20"/>
          <w:lang w:val="en-GB"/>
        </w:rPr>
        <w:t>in accordance with</w:t>
      </w:r>
      <w:r w:rsidRPr="00172715">
        <w:rPr>
          <w:color w:val="000000" w:themeColor="text1"/>
          <w:szCs w:val="20"/>
          <w:lang w:val="en-GB"/>
        </w:rPr>
        <w:t xml:space="preserve"> Regulation (EU) 2017/746 Art. 5 (5). </w:t>
      </w:r>
      <w:r w:rsidR="00EB6713" w:rsidRPr="00EB6713">
        <w:rPr>
          <w:color w:val="000000" w:themeColor="text1"/>
          <w:szCs w:val="20"/>
          <w:lang w:val="en-GB"/>
        </w:rPr>
        <w:t>Th</w:t>
      </w:r>
      <w:r w:rsidR="00193376">
        <w:rPr>
          <w:color w:val="000000" w:themeColor="text1"/>
          <w:szCs w:val="20"/>
          <w:lang w:val="en-GB"/>
        </w:rPr>
        <w:t>e</w:t>
      </w:r>
      <w:r w:rsidR="00EB6713" w:rsidRPr="00EB6713">
        <w:rPr>
          <w:color w:val="000000" w:themeColor="text1"/>
          <w:szCs w:val="20"/>
          <w:lang w:val="en-GB"/>
        </w:rPr>
        <w:t xml:space="preserve"> document is not legally binding and serves </w:t>
      </w:r>
      <w:r w:rsidR="00273DC6">
        <w:rPr>
          <w:color w:val="000000" w:themeColor="text1"/>
          <w:szCs w:val="20"/>
          <w:lang w:val="en-GB"/>
        </w:rPr>
        <w:t>solely</w:t>
      </w:r>
      <w:r w:rsidR="00EB6713" w:rsidRPr="00EB6713">
        <w:rPr>
          <w:color w:val="000000" w:themeColor="text1"/>
          <w:szCs w:val="20"/>
          <w:lang w:val="en-GB"/>
        </w:rPr>
        <w:t xml:space="preserve"> as a </w:t>
      </w:r>
      <w:r w:rsidR="00EB6713">
        <w:rPr>
          <w:color w:val="000000" w:themeColor="text1"/>
          <w:szCs w:val="20"/>
          <w:lang w:val="en-GB"/>
        </w:rPr>
        <w:t>recommendation</w:t>
      </w:r>
      <w:r w:rsidR="00EB6713" w:rsidRPr="00EB6713">
        <w:rPr>
          <w:color w:val="000000" w:themeColor="text1"/>
          <w:szCs w:val="20"/>
          <w:lang w:val="en-GB"/>
        </w:rPr>
        <w:t xml:space="preserve"> for </w:t>
      </w:r>
      <w:r w:rsidR="00273DC6">
        <w:rPr>
          <w:color w:val="000000" w:themeColor="text1"/>
          <w:szCs w:val="20"/>
          <w:lang w:val="en-GB"/>
        </w:rPr>
        <w:t>implementing</w:t>
      </w:r>
      <w:r w:rsidR="00EB6713" w:rsidRPr="00EB6713">
        <w:rPr>
          <w:color w:val="000000" w:themeColor="text1"/>
          <w:szCs w:val="20"/>
          <w:lang w:val="en-GB"/>
        </w:rPr>
        <w:t xml:space="preserve"> the IVDR requirements </w:t>
      </w:r>
      <w:r w:rsidR="00273DC6">
        <w:rPr>
          <w:color w:val="000000" w:themeColor="text1"/>
          <w:szCs w:val="20"/>
          <w:lang w:val="en-GB"/>
        </w:rPr>
        <w:t>in</w:t>
      </w:r>
      <w:r w:rsidR="00EB6713" w:rsidRPr="00EB6713">
        <w:rPr>
          <w:color w:val="000000" w:themeColor="text1"/>
          <w:szCs w:val="20"/>
          <w:lang w:val="en-GB"/>
        </w:rPr>
        <w:t xml:space="preserve"> </w:t>
      </w:r>
      <w:r w:rsidR="00EB6713">
        <w:rPr>
          <w:color w:val="000000" w:themeColor="text1"/>
          <w:szCs w:val="20"/>
          <w:lang w:val="en-GB"/>
        </w:rPr>
        <w:t>health institutions</w:t>
      </w:r>
      <w:r w:rsidR="00EB6713" w:rsidRPr="00EB6713">
        <w:rPr>
          <w:color w:val="000000" w:themeColor="text1"/>
          <w:szCs w:val="20"/>
          <w:lang w:val="en-GB"/>
        </w:rPr>
        <w:t xml:space="preserve"> that manufacture and use devices. The document reflects the current state of knowledge at the time </w:t>
      </w:r>
      <w:r w:rsidR="00EB6713">
        <w:rPr>
          <w:color w:val="000000" w:themeColor="text1"/>
          <w:szCs w:val="20"/>
          <w:lang w:val="en-GB"/>
        </w:rPr>
        <w:t>it was written</w:t>
      </w:r>
      <w:r w:rsidR="00EB6713" w:rsidRPr="00EB6713">
        <w:rPr>
          <w:color w:val="000000" w:themeColor="text1"/>
          <w:szCs w:val="20"/>
          <w:lang w:val="en-GB"/>
        </w:rPr>
        <w:t xml:space="preserve"> and does not claim to be complete. The authors </w:t>
      </w:r>
      <w:r w:rsidR="0017185D">
        <w:rPr>
          <w:color w:val="000000" w:themeColor="text1"/>
          <w:szCs w:val="20"/>
          <w:lang w:val="en-GB"/>
        </w:rPr>
        <w:t>assume</w:t>
      </w:r>
      <w:r w:rsidR="00EB6713" w:rsidRPr="00EB6713">
        <w:rPr>
          <w:color w:val="000000" w:themeColor="text1"/>
          <w:szCs w:val="20"/>
          <w:lang w:val="en-GB"/>
        </w:rPr>
        <w:t xml:space="preserve"> no liability </w:t>
      </w:r>
      <w:r w:rsidR="008A0AE4">
        <w:rPr>
          <w:color w:val="000000" w:themeColor="text1"/>
          <w:szCs w:val="20"/>
          <w:lang w:val="en-GB"/>
        </w:rPr>
        <w:t>whatsoever</w:t>
      </w:r>
      <w:r w:rsidR="0017185D">
        <w:rPr>
          <w:color w:val="000000" w:themeColor="text1"/>
          <w:szCs w:val="20"/>
          <w:lang w:val="en-GB"/>
        </w:rPr>
        <w:t xml:space="preserve">. </w:t>
      </w:r>
    </w:p>
    <w:bookmarkEnd w:id="0"/>
    <w:p w14:paraId="7A44D0A1" w14:textId="77777777" w:rsidR="00DF4F36" w:rsidRPr="006C5B12" w:rsidRDefault="00DF4F36" w:rsidP="00DF4F36">
      <w:pPr>
        <w:pBdr>
          <w:top w:val="single" w:sz="4" w:space="1" w:color="auto"/>
          <w:left w:val="single" w:sz="4" w:space="4" w:color="auto"/>
          <w:bottom w:val="single" w:sz="4" w:space="1" w:color="auto"/>
          <w:right w:val="single" w:sz="4" w:space="4" w:color="auto"/>
        </w:pBdr>
        <w:spacing w:after="120"/>
        <w:ind w:left="142" w:right="139"/>
        <w:rPr>
          <w:color w:val="000000" w:themeColor="text1"/>
          <w:szCs w:val="20"/>
          <w:lang w:val="en-GB"/>
        </w:rPr>
      </w:pPr>
    </w:p>
    <w:p w14:paraId="3D049F4F" w14:textId="52A3370B" w:rsidR="00DF4F36" w:rsidRPr="006C5B12" w:rsidRDefault="0017185D" w:rsidP="00DF4F36">
      <w:pPr>
        <w:pStyle w:val="Standard8pt"/>
        <w:pBdr>
          <w:top w:val="single" w:sz="4" w:space="1" w:color="auto"/>
          <w:left w:val="single" w:sz="4" w:space="4" w:color="auto"/>
          <w:bottom w:val="single" w:sz="4" w:space="1" w:color="auto"/>
          <w:right w:val="single" w:sz="4" w:space="4" w:color="auto"/>
        </w:pBdr>
        <w:spacing w:line="312" w:lineRule="auto"/>
        <w:ind w:left="142" w:right="139"/>
        <w:rPr>
          <w:color w:val="auto"/>
          <w:sz w:val="20"/>
          <w:lang w:val="en-GB"/>
        </w:rPr>
      </w:pPr>
      <w:r>
        <w:rPr>
          <w:color w:val="auto"/>
          <w:sz w:val="20"/>
          <w:lang w:val="en-GB"/>
        </w:rPr>
        <w:t>File name</w:t>
      </w:r>
      <w:r w:rsidR="00DF4F36" w:rsidRPr="006C5B12">
        <w:rPr>
          <w:color w:val="auto"/>
          <w:sz w:val="20"/>
          <w:lang w:val="en-GB"/>
        </w:rPr>
        <w:t>:</w:t>
      </w:r>
      <w:r w:rsidR="00DF4F36" w:rsidRPr="006C5B12">
        <w:rPr>
          <w:color w:val="auto"/>
          <w:sz w:val="20"/>
          <w:lang w:val="en-GB"/>
        </w:rPr>
        <w:tab/>
      </w:r>
      <w:r w:rsidR="00DF4F36" w:rsidRPr="006C5B12">
        <w:rPr>
          <w:color w:val="auto"/>
          <w:sz w:val="20"/>
          <w:lang w:val="en-GB"/>
        </w:rPr>
        <w:tab/>
        <w:t>AWMF_IVDR_Risikomanagement</w:t>
      </w:r>
      <w:bookmarkStart w:id="1" w:name="_GoBack"/>
      <w:bookmarkEnd w:id="1"/>
    </w:p>
    <w:p w14:paraId="7560660C" w14:textId="77777777" w:rsidR="00DF4F36" w:rsidRPr="006C5B12" w:rsidRDefault="00DF4F36" w:rsidP="00DF4F36">
      <w:pPr>
        <w:pStyle w:val="Standard8pt"/>
        <w:pBdr>
          <w:top w:val="single" w:sz="4" w:space="1" w:color="auto"/>
          <w:left w:val="single" w:sz="4" w:space="4" w:color="auto"/>
          <w:bottom w:val="single" w:sz="4" w:space="1" w:color="auto"/>
          <w:right w:val="single" w:sz="4" w:space="4" w:color="auto"/>
        </w:pBdr>
        <w:spacing w:line="312" w:lineRule="auto"/>
        <w:ind w:left="142" w:right="139"/>
        <w:rPr>
          <w:color w:val="auto"/>
          <w:sz w:val="20"/>
          <w:lang w:val="en-GB"/>
        </w:rPr>
      </w:pPr>
      <w:r w:rsidRPr="006C5B12">
        <w:rPr>
          <w:color w:val="auto"/>
          <w:sz w:val="20"/>
          <w:lang w:val="en-GB"/>
        </w:rPr>
        <w:t>Version:</w:t>
      </w:r>
      <w:r w:rsidRPr="006C5B12">
        <w:rPr>
          <w:color w:val="auto"/>
          <w:sz w:val="20"/>
          <w:lang w:val="en-GB"/>
        </w:rPr>
        <w:tab/>
      </w:r>
      <w:r w:rsidRPr="006C5B12">
        <w:rPr>
          <w:color w:val="auto"/>
          <w:sz w:val="20"/>
          <w:lang w:val="en-GB"/>
        </w:rPr>
        <w:tab/>
        <w:t>v.01</w:t>
      </w:r>
    </w:p>
    <w:p w14:paraId="0E37DE16" w14:textId="79F400F9" w:rsidR="00DF4F36" w:rsidRPr="006C5B12" w:rsidRDefault="0017185D" w:rsidP="00DF4F36">
      <w:pPr>
        <w:pStyle w:val="Standard8pt"/>
        <w:pBdr>
          <w:top w:val="single" w:sz="4" w:space="1" w:color="auto"/>
          <w:left w:val="single" w:sz="4" w:space="4" w:color="auto"/>
          <w:bottom w:val="single" w:sz="4" w:space="1" w:color="auto"/>
          <w:right w:val="single" w:sz="4" w:space="4" w:color="auto"/>
        </w:pBdr>
        <w:spacing w:line="312" w:lineRule="auto"/>
        <w:ind w:left="142" w:right="139"/>
        <w:rPr>
          <w:color w:val="auto"/>
          <w:sz w:val="20"/>
          <w:lang w:val="en-GB"/>
        </w:rPr>
      </w:pPr>
      <w:r>
        <w:rPr>
          <w:color w:val="auto"/>
          <w:sz w:val="20"/>
          <w:lang w:val="en-GB"/>
        </w:rPr>
        <w:t>Issue date</w:t>
      </w:r>
      <w:r w:rsidR="00DF4F36" w:rsidRPr="006C5B12">
        <w:rPr>
          <w:color w:val="auto"/>
          <w:sz w:val="20"/>
          <w:lang w:val="en-GB"/>
        </w:rPr>
        <w:t>:</w:t>
      </w:r>
      <w:r>
        <w:rPr>
          <w:color w:val="auto"/>
          <w:sz w:val="20"/>
          <w:lang w:val="en-GB"/>
        </w:rPr>
        <w:tab/>
      </w:r>
      <w:r w:rsidR="00DF4F36" w:rsidRPr="006C5B12">
        <w:rPr>
          <w:color w:val="auto"/>
          <w:sz w:val="20"/>
          <w:lang w:val="en-GB"/>
        </w:rPr>
        <w:tab/>
        <w:t>2</w:t>
      </w:r>
      <w:r>
        <w:rPr>
          <w:color w:val="auto"/>
          <w:sz w:val="20"/>
          <w:lang w:val="en-GB"/>
        </w:rPr>
        <w:t xml:space="preserve"> September</w:t>
      </w:r>
      <w:r w:rsidR="00DF4F36" w:rsidRPr="006C5B12">
        <w:rPr>
          <w:color w:val="auto"/>
          <w:sz w:val="20"/>
          <w:lang w:val="en-GB"/>
        </w:rPr>
        <w:t xml:space="preserve"> 2021</w:t>
      </w:r>
    </w:p>
    <w:p w14:paraId="6CCC0C3A" w14:textId="32E9894C" w:rsidR="00DF4F36" w:rsidRPr="006C5B12" w:rsidRDefault="00DF4F36" w:rsidP="00DF4F36">
      <w:pPr>
        <w:pStyle w:val="Standard8pt"/>
        <w:pBdr>
          <w:top w:val="single" w:sz="4" w:space="1" w:color="auto"/>
          <w:left w:val="single" w:sz="4" w:space="4" w:color="auto"/>
          <w:bottom w:val="single" w:sz="4" w:space="1" w:color="auto"/>
          <w:right w:val="single" w:sz="4" w:space="4" w:color="auto"/>
        </w:pBdr>
        <w:spacing w:line="312" w:lineRule="auto"/>
        <w:ind w:left="142" w:right="139"/>
        <w:jc w:val="left"/>
        <w:rPr>
          <w:color w:val="auto"/>
          <w:sz w:val="20"/>
          <w:lang w:val="en-GB"/>
        </w:rPr>
      </w:pPr>
      <w:r w:rsidRPr="006C5B12">
        <w:rPr>
          <w:color w:val="auto"/>
          <w:sz w:val="20"/>
          <w:lang w:val="en-GB"/>
        </w:rPr>
        <w:t>Aut</w:t>
      </w:r>
      <w:r w:rsidR="0017185D">
        <w:rPr>
          <w:color w:val="auto"/>
          <w:sz w:val="20"/>
          <w:lang w:val="en-GB"/>
        </w:rPr>
        <w:t>hors</w:t>
      </w:r>
      <w:r w:rsidRPr="006C5B12">
        <w:rPr>
          <w:color w:val="auto"/>
          <w:sz w:val="20"/>
          <w:lang w:val="en-GB"/>
        </w:rPr>
        <w:t>:</w:t>
      </w:r>
      <w:r w:rsidRPr="006C5B12">
        <w:rPr>
          <w:color w:val="auto"/>
          <w:sz w:val="20"/>
          <w:lang w:val="en-GB"/>
        </w:rPr>
        <w:tab/>
      </w:r>
      <w:r w:rsidRPr="006C5B12">
        <w:rPr>
          <w:color w:val="auto"/>
          <w:sz w:val="20"/>
          <w:lang w:val="en-GB"/>
        </w:rPr>
        <w:tab/>
        <w:t>Dombrink, Isabel</w:t>
      </w:r>
    </w:p>
    <w:p w14:paraId="35DBFB14" w14:textId="7B7027D4" w:rsidR="005971E8" w:rsidRPr="006C5B12" w:rsidRDefault="005971E8" w:rsidP="005971E8">
      <w:pPr>
        <w:pStyle w:val="Standard8pt"/>
        <w:pBdr>
          <w:top w:val="single" w:sz="4" w:space="1" w:color="auto"/>
          <w:left w:val="single" w:sz="4" w:space="4" w:color="auto"/>
          <w:bottom w:val="single" w:sz="4" w:space="1" w:color="auto"/>
          <w:right w:val="single" w:sz="4" w:space="4" w:color="auto"/>
        </w:pBdr>
        <w:spacing w:line="312" w:lineRule="auto"/>
        <w:ind w:left="142" w:right="139" w:firstLine="566"/>
        <w:jc w:val="left"/>
        <w:rPr>
          <w:color w:val="auto"/>
          <w:sz w:val="20"/>
          <w:lang w:val="en-GB"/>
        </w:rPr>
      </w:pPr>
      <w:r w:rsidRPr="006C5B12">
        <w:rPr>
          <w:color w:val="auto"/>
          <w:sz w:val="20"/>
          <w:lang w:val="en-GB"/>
        </w:rPr>
        <w:t xml:space="preserve">                         Müller, Jens</w:t>
      </w:r>
    </w:p>
    <w:p w14:paraId="017B03A9" w14:textId="67482D61" w:rsidR="00DF4F36" w:rsidRPr="006C5B12" w:rsidRDefault="00DF4F36" w:rsidP="00DF4F36">
      <w:pPr>
        <w:rPr>
          <w:rFonts w:asciiTheme="majorHAnsi" w:eastAsiaTheme="majorEastAsia" w:hAnsiTheme="majorHAnsi" w:cstheme="majorBidi"/>
          <w:b/>
          <w:spacing w:val="-10"/>
          <w:kern w:val="28"/>
          <w:sz w:val="28"/>
          <w:szCs w:val="28"/>
          <w:u w:val="single"/>
          <w:lang w:val="en-GB"/>
        </w:rPr>
      </w:pPr>
      <w:r w:rsidRPr="006C5B12">
        <w:rPr>
          <w:b/>
          <w:sz w:val="28"/>
          <w:szCs w:val="28"/>
          <w:u w:val="single"/>
          <w:lang w:val="en-GB"/>
        </w:rPr>
        <w:br w:type="page"/>
      </w:r>
    </w:p>
    <w:p w14:paraId="08308752" w14:textId="7304718B" w:rsidR="006514BA" w:rsidRPr="006C5B12" w:rsidRDefault="00A32049" w:rsidP="0019494F">
      <w:pPr>
        <w:pStyle w:val="Titel"/>
        <w:rPr>
          <w:b/>
          <w:sz w:val="28"/>
          <w:szCs w:val="28"/>
          <w:u w:val="single"/>
          <w:lang w:val="en-GB"/>
        </w:rPr>
      </w:pPr>
      <w:r>
        <w:rPr>
          <w:sz w:val="40"/>
          <w:lang w:val="en-GB"/>
        </w:rPr>
        <w:lastRenderedPageBreak/>
        <w:t>Implementing</w:t>
      </w:r>
      <w:r w:rsidR="008A5B5D">
        <w:rPr>
          <w:sz w:val="40"/>
          <w:lang w:val="en-GB"/>
        </w:rPr>
        <w:t xml:space="preserve"> risk management </w:t>
      </w:r>
      <w:r>
        <w:rPr>
          <w:sz w:val="40"/>
          <w:lang w:val="en-GB"/>
        </w:rPr>
        <w:t>in accordance with</w:t>
      </w:r>
      <w:r w:rsidR="008A5B5D">
        <w:rPr>
          <w:sz w:val="40"/>
          <w:lang w:val="en-GB"/>
        </w:rPr>
        <w:t xml:space="preserve"> the IVDR </w:t>
      </w:r>
    </w:p>
    <w:p w14:paraId="4C4DD1F2" w14:textId="73A72019" w:rsidR="006514BA" w:rsidRPr="006C5B12" w:rsidRDefault="008A5B5D" w:rsidP="00F4147C">
      <w:pPr>
        <w:pStyle w:val="berschrift1"/>
        <w:rPr>
          <w:lang w:val="en-GB"/>
        </w:rPr>
      </w:pPr>
      <w:r>
        <w:rPr>
          <w:lang w:val="en-GB"/>
        </w:rPr>
        <w:t>Introduction</w:t>
      </w:r>
    </w:p>
    <w:p w14:paraId="424BF72D" w14:textId="68F5B547" w:rsidR="001728E7" w:rsidRPr="006C5B12" w:rsidRDefault="00D27A0B" w:rsidP="009B2475">
      <w:pPr>
        <w:jc w:val="both"/>
        <w:rPr>
          <w:lang w:val="en-GB"/>
        </w:rPr>
      </w:pPr>
      <w:r w:rsidRPr="008A5B5D">
        <w:rPr>
          <w:lang w:val="en-GB"/>
        </w:rPr>
        <w:t>Annex I, Chapter I, Section 3</w:t>
      </w:r>
      <w:r>
        <w:rPr>
          <w:lang w:val="en-GB"/>
        </w:rPr>
        <w:t xml:space="preserve"> of th</w:t>
      </w:r>
      <w:r w:rsidR="008A5B5D" w:rsidRPr="008A5B5D">
        <w:rPr>
          <w:lang w:val="en-GB"/>
        </w:rPr>
        <w:t xml:space="preserve">e IVDR requires the implementation, documentation and continuous </w:t>
      </w:r>
      <w:r>
        <w:rPr>
          <w:lang w:val="en-GB"/>
        </w:rPr>
        <w:t>maintenance</w:t>
      </w:r>
      <w:r w:rsidR="008A5B5D" w:rsidRPr="008A5B5D">
        <w:rPr>
          <w:lang w:val="en-GB"/>
        </w:rPr>
        <w:t xml:space="preserve"> of a risk management system </w:t>
      </w:r>
      <w:r w:rsidR="008A5B5D" w:rsidRPr="006C5B12">
        <w:rPr>
          <w:lang w:val="en-GB"/>
        </w:rPr>
        <w:t xml:space="preserve">(see </w:t>
      </w:r>
      <w:r w:rsidR="008A5B5D" w:rsidRPr="006C5B12">
        <w:rPr>
          <w:lang w:val="en-GB"/>
        </w:rPr>
        <w:fldChar w:fldCharType="begin"/>
      </w:r>
      <w:r w:rsidR="008A5B5D" w:rsidRPr="006C5B12">
        <w:rPr>
          <w:lang w:val="en-GB"/>
        </w:rPr>
        <w:instrText xml:space="preserve"> REF _Ref70668481 \h </w:instrText>
      </w:r>
      <w:r w:rsidR="008A5B5D" w:rsidRPr="006C5B12">
        <w:rPr>
          <w:lang w:val="en-GB"/>
        </w:rPr>
      </w:r>
      <w:r w:rsidR="008A5B5D" w:rsidRPr="006C5B12">
        <w:rPr>
          <w:lang w:val="en-GB"/>
        </w:rPr>
        <w:fldChar w:fldCharType="separate"/>
      </w:r>
      <w:r w:rsidR="008A5B5D" w:rsidRPr="006C5B12">
        <w:rPr>
          <w:lang w:val="en-GB"/>
        </w:rPr>
        <w:t xml:space="preserve">Table </w:t>
      </w:r>
      <w:r w:rsidR="008A5B5D" w:rsidRPr="006C5B12">
        <w:rPr>
          <w:noProof/>
          <w:lang w:val="en-GB"/>
        </w:rPr>
        <w:t>1</w:t>
      </w:r>
      <w:r w:rsidR="008A5B5D" w:rsidRPr="006C5B12">
        <w:rPr>
          <w:lang w:val="en-GB"/>
        </w:rPr>
        <w:fldChar w:fldCharType="end"/>
      </w:r>
      <w:r w:rsidR="008A5B5D" w:rsidRPr="006C5B12">
        <w:rPr>
          <w:lang w:val="en-GB"/>
        </w:rPr>
        <w:t>)</w:t>
      </w:r>
      <w:r w:rsidR="001E6724">
        <w:rPr>
          <w:lang w:val="en-GB"/>
        </w:rPr>
        <w:t>.</w:t>
      </w:r>
      <w:r w:rsidR="001E6724" w:rsidRPr="008A5B5D">
        <w:rPr>
          <w:lang w:val="en-GB"/>
        </w:rPr>
        <w:t xml:space="preserve"> </w:t>
      </w:r>
      <w:r w:rsidR="001E6724">
        <w:rPr>
          <w:lang w:val="en-GB"/>
        </w:rPr>
        <w:t>R</w:t>
      </w:r>
      <w:r w:rsidR="008A5B5D" w:rsidRPr="008A5B5D">
        <w:rPr>
          <w:lang w:val="en-GB"/>
        </w:rPr>
        <w:t xml:space="preserve">isk management is understood </w:t>
      </w:r>
      <w:r w:rsidR="001E6724">
        <w:rPr>
          <w:lang w:val="en-GB"/>
        </w:rPr>
        <w:t xml:space="preserve">here </w:t>
      </w:r>
      <w:r>
        <w:rPr>
          <w:lang w:val="en-GB"/>
        </w:rPr>
        <w:t>to be</w:t>
      </w:r>
      <w:r w:rsidR="008A5B5D" w:rsidRPr="008A5B5D">
        <w:rPr>
          <w:lang w:val="en-GB"/>
        </w:rPr>
        <w:t xml:space="preserve"> a </w:t>
      </w:r>
      <w:r w:rsidR="00326BC1">
        <w:rPr>
          <w:lang w:val="en-GB"/>
        </w:rPr>
        <w:t>“</w:t>
      </w:r>
      <w:r w:rsidR="008A5B5D" w:rsidRPr="008A5B5D">
        <w:rPr>
          <w:lang w:val="en-GB"/>
        </w:rPr>
        <w:t xml:space="preserve">continuous, iterative process throughout the </w:t>
      </w:r>
      <w:r w:rsidR="00326BC1">
        <w:rPr>
          <w:lang w:val="en-GB"/>
        </w:rPr>
        <w:t xml:space="preserve">entire </w:t>
      </w:r>
      <w:r w:rsidR="008A5B5D" w:rsidRPr="008A5B5D">
        <w:rPr>
          <w:lang w:val="en-GB"/>
        </w:rPr>
        <w:t xml:space="preserve">lifecycle of a </w:t>
      </w:r>
      <w:r w:rsidR="0017185D">
        <w:rPr>
          <w:lang w:val="en-GB"/>
        </w:rPr>
        <w:t>device</w:t>
      </w:r>
      <w:r w:rsidR="00326BC1">
        <w:rPr>
          <w:lang w:val="en-GB"/>
        </w:rPr>
        <w:t>”</w:t>
      </w:r>
      <w:r w:rsidR="008A5B5D" w:rsidRPr="008A5B5D">
        <w:rPr>
          <w:lang w:val="en-GB"/>
        </w:rPr>
        <w:t xml:space="preserve"> </w:t>
      </w:r>
      <w:r w:rsidR="0017185D">
        <w:rPr>
          <w:lang w:val="en-GB"/>
        </w:rPr>
        <w:t>which</w:t>
      </w:r>
      <w:r w:rsidR="008A5B5D" w:rsidRPr="008A5B5D">
        <w:rPr>
          <w:lang w:val="en-GB"/>
        </w:rPr>
        <w:t xml:space="preserve"> requires </w:t>
      </w:r>
      <w:r w:rsidR="00326BC1">
        <w:rPr>
          <w:lang w:val="en-GB"/>
        </w:rPr>
        <w:t>“</w:t>
      </w:r>
      <w:r w:rsidR="008A5B5D" w:rsidRPr="008A5B5D">
        <w:rPr>
          <w:lang w:val="en-GB"/>
        </w:rPr>
        <w:t>regular systematic updating</w:t>
      </w:r>
      <w:r w:rsidR="00326BC1">
        <w:rPr>
          <w:lang w:val="en-GB"/>
        </w:rPr>
        <w:t>”</w:t>
      </w:r>
      <w:r w:rsidR="008A5B5D" w:rsidRPr="008A5B5D">
        <w:rPr>
          <w:lang w:val="en-GB"/>
        </w:rPr>
        <w:t>.</w:t>
      </w:r>
      <w:r w:rsidR="00326BC1">
        <w:rPr>
          <w:lang w:val="en-GB"/>
        </w:rPr>
        <w:t xml:space="preserve"> </w:t>
      </w:r>
    </w:p>
    <w:p w14:paraId="77566338" w14:textId="7D3E020C" w:rsidR="009B2475" w:rsidRPr="006C5B12" w:rsidRDefault="00326BC1" w:rsidP="009B2475">
      <w:pPr>
        <w:jc w:val="both"/>
        <w:rPr>
          <w:lang w:val="en-GB"/>
        </w:rPr>
      </w:pPr>
      <w:r>
        <w:rPr>
          <w:lang w:val="en-GB"/>
        </w:rPr>
        <w:t>“Device”</w:t>
      </w:r>
      <w:r w:rsidRPr="00326BC1">
        <w:rPr>
          <w:lang w:val="en-GB"/>
        </w:rPr>
        <w:t xml:space="preserve"> in the context of this document means an in-house IVD or, </w:t>
      </w:r>
      <w:r w:rsidR="001E6724">
        <w:rPr>
          <w:lang w:val="en-GB"/>
        </w:rPr>
        <w:t>where</w:t>
      </w:r>
      <w:r w:rsidRPr="00326BC1">
        <w:rPr>
          <w:lang w:val="en-GB"/>
        </w:rPr>
        <w:t xml:space="preserve"> applicable, a generic </w:t>
      </w:r>
      <w:r w:rsidR="001E6724">
        <w:rPr>
          <w:lang w:val="en-GB"/>
        </w:rPr>
        <w:t xml:space="preserve">device </w:t>
      </w:r>
      <w:r w:rsidRPr="00326BC1">
        <w:rPr>
          <w:lang w:val="en-GB"/>
        </w:rPr>
        <w:t>group developed by a medical laboratory (laboratory) and used for diagnostic purposes.</w:t>
      </w:r>
      <w:r>
        <w:rPr>
          <w:lang w:val="en-GB"/>
        </w:rPr>
        <w:t xml:space="preserve"> </w:t>
      </w:r>
    </w:p>
    <w:p w14:paraId="48294E6F" w14:textId="6F7E2D7E" w:rsidR="009B2475" w:rsidRPr="006C5B12" w:rsidRDefault="005912D7" w:rsidP="006525DE">
      <w:pPr>
        <w:pStyle w:val="Beschriftung"/>
        <w:rPr>
          <w:lang w:val="en-GB"/>
        </w:rPr>
      </w:pPr>
      <w:bookmarkStart w:id="2" w:name="_Ref70668481"/>
      <w:r w:rsidRPr="006C5B12">
        <w:rPr>
          <w:lang w:val="en-GB"/>
        </w:rPr>
        <w:t xml:space="preserve">Table </w:t>
      </w:r>
      <w:r w:rsidR="00F80F8D" w:rsidRPr="006C5B12">
        <w:rPr>
          <w:noProof/>
          <w:lang w:val="en-GB"/>
        </w:rPr>
        <w:fldChar w:fldCharType="begin"/>
      </w:r>
      <w:r w:rsidR="00F80F8D" w:rsidRPr="006C5B12">
        <w:rPr>
          <w:noProof/>
          <w:lang w:val="en-GB"/>
        </w:rPr>
        <w:instrText xml:space="preserve"> SEQ Tabelle \* ARABIC </w:instrText>
      </w:r>
      <w:r w:rsidR="00F80F8D" w:rsidRPr="006C5B12">
        <w:rPr>
          <w:noProof/>
          <w:lang w:val="en-GB"/>
        </w:rPr>
        <w:fldChar w:fldCharType="separate"/>
      </w:r>
      <w:r w:rsidR="00087CA3" w:rsidRPr="006C5B12">
        <w:rPr>
          <w:noProof/>
          <w:lang w:val="en-GB"/>
        </w:rPr>
        <w:t>1</w:t>
      </w:r>
      <w:r w:rsidR="00F80F8D" w:rsidRPr="006C5B12">
        <w:rPr>
          <w:noProof/>
          <w:lang w:val="en-GB"/>
        </w:rPr>
        <w:fldChar w:fldCharType="end"/>
      </w:r>
      <w:bookmarkEnd w:id="2"/>
      <w:r w:rsidRPr="006C5B12">
        <w:rPr>
          <w:lang w:val="en-GB"/>
        </w:rPr>
        <w:t xml:space="preserve"> </w:t>
      </w:r>
      <w:r w:rsidR="00840722" w:rsidRPr="006C5B12">
        <w:rPr>
          <w:lang w:val="en-GB"/>
        </w:rPr>
        <w:t xml:space="preserve">IVDR - </w:t>
      </w:r>
      <w:r w:rsidR="009B2475" w:rsidRPr="006C5B12">
        <w:rPr>
          <w:lang w:val="en-GB"/>
        </w:rPr>
        <w:t>An</w:t>
      </w:r>
      <w:r w:rsidR="00326BC1">
        <w:rPr>
          <w:lang w:val="en-GB"/>
        </w:rPr>
        <w:t>nex</w:t>
      </w:r>
      <w:r w:rsidR="009B2475" w:rsidRPr="006C5B12">
        <w:rPr>
          <w:lang w:val="en-GB"/>
        </w:rPr>
        <w:t xml:space="preserve"> I, </w:t>
      </w:r>
      <w:r w:rsidR="00326BC1">
        <w:rPr>
          <w:lang w:val="en-GB"/>
        </w:rPr>
        <w:t>Chapter</w:t>
      </w:r>
      <w:r w:rsidR="009B2475" w:rsidRPr="006C5B12">
        <w:rPr>
          <w:lang w:val="en-GB"/>
        </w:rPr>
        <w:t xml:space="preserve"> </w:t>
      </w:r>
      <w:r w:rsidR="00087CA3" w:rsidRPr="006C5B12">
        <w:rPr>
          <w:lang w:val="en-GB"/>
        </w:rPr>
        <w:t>I</w:t>
      </w:r>
      <w:r w:rsidR="009B2475" w:rsidRPr="006C5B12">
        <w:rPr>
          <w:lang w:val="en-GB"/>
        </w:rPr>
        <w:t xml:space="preserve">, </w:t>
      </w:r>
      <w:r w:rsidR="00326BC1">
        <w:rPr>
          <w:lang w:val="en-GB"/>
        </w:rPr>
        <w:t>Section</w:t>
      </w:r>
      <w:r w:rsidR="009B2475" w:rsidRPr="006C5B12">
        <w:rPr>
          <w:lang w:val="en-GB"/>
        </w:rPr>
        <w:t xml:space="preserve"> 3 </w:t>
      </w:r>
      <w:r w:rsidR="00326BC1">
        <w:rPr>
          <w:lang w:val="en-GB"/>
        </w:rPr>
        <w:t>of the</w:t>
      </w:r>
      <w:r w:rsidR="009B2475" w:rsidRPr="006C5B12">
        <w:rPr>
          <w:lang w:val="en-GB"/>
        </w:rPr>
        <w:t xml:space="preserve"> IVDR </w:t>
      </w:r>
    </w:p>
    <w:tbl>
      <w:tblPr>
        <w:tblW w:w="9072" w:type="dxa"/>
        <w:tblInd w:w="-5" w:type="dxa"/>
        <w:tblLook w:val="04A0" w:firstRow="1" w:lastRow="0" w:firstColumn="1" w:lastColumn="0" w:noHBand="0" w:noVBand="1"/>
      </w:tblPr>
      <w:tblGrid>
        <w:gridCol w:w="1263"/>
        <w:gridCol w:w="6675"/>
        <w:gridCol w:w="1134"/>
      </w:tblGrid>
      <w:tr w:rsidR="00BA5099" w:rsidRPr="006C5B12" w14:paraId="5DF0CC68" w14:textId="34FB20E3" w:rsidTr="00F4147C">
        <w:trPr>
          <w:trHeight w:val="318"/>
        </w:trPr>
        <w:tc>
          <w:tcPr>
            <w:tcW w:w="79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C4BAB20" w14:textId="77777777" w:rsidR="00BA5099" w:rsidRPr="006C5B12" w:rsidRDefault="00BA5099" w:rsidP="00607CD7">
            <w:pPr>
              <w:pStyle w:val="Default"/>
              <w:spacing w:after="60"/>
              <w:jc w:val="both"/>
              <w:rPr>
                <w:rFonts w:asciiTheme="minorHAnsi" w:hAnsiTheme="minorHAnsi" w:cstheme="minorBidi"/>
                <w:b/>
                <w:bCs/>
                <w:iCs/>
                <w:color w:val="auto"/>
                <w:sz w:val="20"/>
                <w:szCs w:val="20"/>
              </w:rPr>
            </w:pPr>
            <w:r w:rsidRPr="006C5B12">
              <w:rPr>
                <w:rFonts w:asciiTheme="minorHAnsi" w:hAnsiTheme="minorHAnsi" w:cstheme="minorBidi"/>
                <w:b/>
                <w:bCs/>
                <w:iCs/>
                <w:color w:val="auto"/>
                <w:sz w:val="20"/>
                <w:szCs w:val="20"/>
              </w:rPr>
              <w:t>IVDR</w:t>
            </w:r>
          </w:p>
        </w:tc>
        <w:tc>
          <w:tcPr>
            <w:tcW w:w="1134" w:type="dxa"/>
            <w:vMerge w:val="restart"/>
            <w:tcBorders>
              <w:top w:val="single" w:sz="4" w:space="0" w:color="auto"/>
              <w:left w:val="single" w:sz="4" w:space="0" w:color="auto"/>
              <w:right w:val="single" w:sz="4" w:space="0" w:color="auto"/>
            </w:tcBorders>
            <w:shd w:val="clear" w:color="auto" w:fill="E7E6E6" w:themeFill="background2"/>
          </w:tcPr>
          <w:p w14:paraId="21296A86" w14:textId="2CA62215" w:rsidR="00BA5099" w:rsidRPr="006C5B12" w:rsidRDefault="00C9182D" w:rsidP="00607CD7">
            <w:pPr>
              <w:pStyle w:val="Default"/>
              <w:spacing w:after="60"/>
              <w:jc w:val="both"/>
              <w:rPr>
                <w:rFonts w:asciiTheme="minorHAnsi" w:hAnsiTheme="minorHAnsi" w:cstheme="minorBidi"/>
                <w:b/>
                <w:bCs/>
                <w:iCs/>
                <w:color w:val="auto"/>
                <w:sz w:val="20"/>
                <w:szCs w:val="20"/>
              </w:rPr>
            </w:pPr>
            <w:r>
              <w:rPr>
                <w:rFonts w:asciiTheme="minorHAnsi" w:hAnsiTheme="minorHAnsi" w:cstheme="minorBidi"/>
                <w:iCs/>
                <w:color w:val="auto"/>
                <w:sz w:val="20"/>
                <w:szCs w:val="20"/>
              </w:rPr>
              <w:t>Points</w:t>
            </w:r>
            <w:r w:rsidR="008A5B5D">
              <w:rPr>
                <w:rFonts w:asciiTheme="minorHAnsi" w:hAnsiTheme="minorHAnsi" w:cstheme="minorBidi"/>
                <w:iCs/>
                <w:color w:val="auto"/>
                <w:sz w:val="20"/>
                <w:szCs w:val="20"/>
              </w:rPr>
              <w:t xml:space="preserve"> in this document </w:t>
            </w:r>
          </w:p>
        </w:tc>
      </w:tr>
      <w:tr w:rsidR="00BA5099" w:rsidRPr="006C5B12" w14:paraId="250C3F7F" w14:textId="4CE86A26" w:rsidTr="00F4147C">
        <w:trPr>
          <w:trHeight w:val="280"/>
        </w:trPr>
        <w:tc>
          <w:tcPr>
            <w:tcW w:w="793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9DB81B7" w14:textId="774560F6" w:rsidR="00BA5099" w:rsidRPr="006C5B12" w:rsidRDefault="00BA5099" w:rsidP="00607CD7">
            <w:pPr>
              <w:pStyle w:val="Default"/>
              <w:spacing w:after="60"/>
              <w:jc w:val="both"/>
              <w:rPr>
                <w:rFonts w:asciiTheme="minorHAnsi" w:hAnsiTheme="minorHAnsi" w:cstheme="minorBidi"/>
                <w:iCs/>
                <w:color w:val="auto"/>
                <w:sz w:val="20"/>
                <w:szCs w:val="20"/>
              </w:rPr>
            </w:pPr>
            <w:r w:rsidRPr="006C5B12">
              <w:rPr>
                <w:rFonts w:asciiTheme="minorHAnsi" w:hAnsiTheme="minorHAnsi" w:cstheme="minorBidi"/>
                <w:iCs/>
                <w:color w:val="auto"/>
                <w:sz w:val="20"/>
                <w:szCs w:val="20"/>
              </w:rPr>
              <w:t>An</w:t>
            </w:r>
            <w:r w:rsidR="008A5B5D">
              <w:rPr>
                <w:rFonts w:asciiTheme="minorHAnsi" w:hAnsiTheme="minorHAnsi" w:cstheme="minorBidi"/>
                <w:iCs/>
                <w:color w:val="auto"/>
                <w:sz w:val="20"/>
                <w:szCs w:val="20"/>
              </w:rPr>
              <w:t>nex</w:t>
            </w:r>
            <w:r w:rsidRPr="006C5B12">
              <w:rPr>
                <w:rFonts w:asciiTheme="minorHAnsi" w:hAnsiTheme="minorHAnsi" w:cstheme="minorBidi"/>
                <w:iCs/>
                <w:color w:val="auto"/>
                <w:sz w:val="20"/>
                <w:szCs w:val="20"/>
              </w:rPr>
              <w:t xml:space="preserve"> I </w:t>
            </w:r>
            <w:r w:rsidR="008A5B5D">
              <w:rPr>
                <w:rFonts w:asciiTheme="minorHAnsi" w:hAnsiTheme="minorHAnsi" w:cstheme="minorBidi"/>
                <w:iCs/>
                <w:color w:val="auto"/>
                <w:sz w:val="20"/>
                <w:szCs w:val="20"/>
              </w:rPr>
              <w:t>Chapter</w:t>
            </w:r>
            <w:r w:rsidRPr="006C5B12">
              <w:rPr>
                <w:rFonts w:asciiTheme="minorHAnsi" w:hAnsiTheme="minorHAnsi" w:cstheme="minorBidi"/>
                <w:color w:val="auto"/>
                <w:sz w:val="20"/>
                <w:szCs w:val="20"/>
              </w:rPr>
              <w:t xml:space="preserve"> </w:t>
            </w:r>
            <w:r w:rsidR="00087CA3" w:rsidRPr="006C5B12">
              <w:rPr>
                <w:rFonts w:asciiTheme="minorHAnsi" w:hAnsiTheme="minorHAnsi" w:cstheme="minorBidi"/>
                <w:color w:val="auto"/>
                <w:sz w:val="20"/>
                <w:szCs w:val="20"/>
              </w:rPr>
              <w:t>I</w:t>
            </w:r>
          </w:p>
        </w:tc>
        <w:tc>
          <w:tcPr>
            <w:tcW w:w="1134" w:type="dxa"/>
            <w:vMerge/>
            <w:tcBorders>
              <w:left w:val="single" w:sz="4" w:space="0" w:color="auto"/>
              <w:bottom w:val="single" w:sz="4" w:space="0" w:color="auto"/>
              <w:right w:val="single" w:sz="4" w:space="0" w:color="auto"/>
            </w:tcBorders>
            <w:shd w:val="clear" w:color="auto" w:fill="E7E6E6" w:themeFill="background2"/>
          </w:tcPr>
          <w:p w14:paraId="0B3D1AFC" w14:textId="053F051A" w:rsidR="00BA5099" w:rsidRPr="006C5B12" w:rsidRDefault="00BA5099" w:rsidP="00607CD7">
            <w:pPr>
              <w:pStyle w:val="Default"/>
              <w:spacing w:after="60"/>
              <w:jc w:val="both"/>
              <w:rPr>
                <w:rFonts w:asciiTheme="minorHAnsi" w:hAnsiTheme="minorHAnsi" w:cstheme="minorBidi"/>
                <w:iCs/>
                <w:color w:val="auto"/>
                <w:sz w:val="20"/>
                <w:szCs w:val="20"/>
              </w:rPr>
            </w:pPr>
          </w:p>
        </w:tc>
      </w:tr>
      <w:tr w:rsidR="00BA5099" w:rsidRPr="006C5B12" w14:paraId="5608A280" w14:textId="4240ED98" w:rsidTr="00F4147C">
        <w:trPr>
          <w:trHeight w:val="284"/>
        </w:trPr>
        <w:tc>
          <w:tcPr>
            <w:tcW w:w="1263" w:type="dxa"/>
            <w:tcBorders>
              <w:top w:val="single" w:sz="4" w:space="0" w:color="auto"/>
              <w:left w:val="single" w:sz="4" w:space="0" w:color="auto"/>
              <w:bottom w:val="single" w:sz="4" w:space="0" w:color="auto"/>
              <w:right w:val="single" w:sz="4" w:space="0" w:color="auto"/>
            </w:tcBorders>
          </w:tcPr>
          <w:p w14:paraId="3E3E47FD" w14:textId="1F3FCB30" w:rsidR="00BA5099" w:rsidRPr="006C5B12" w:rsidRDefault="008A5B5D" w:rsidP="006525DE">
            <w:pPr>
              <w:pStyle w:val="Default"/>
              <w:spacing w:after="60"/>
              <w:rPr>
                <w:rFonts w:asciiTheme="minorHAnsi" w:hAnsiTheme="minorHAnsi" w:cstheme="minorBidi"/>
                <w:i/>
                <w:iCs/>
                <w:color w:val="auto"/>
                <w:sz w:val="20"/>
                <w:szCs w:val="20"/>
              </w:rPr>
            </w:pPr>
            <w:r>
              <w:rPr>
                <w:rFonts w:asciiTheme="minorHAnsi" w:hAnsiTheme="minorHAnsi" w:cstheme="minorBidi"/>
                <w:color w:val="auto"/>
                <w:sz w:val="20"/>
                <w:szCs w:val="20"/>
              </w:rPr>
              <w:t>Section</w:t>
            </w:r>
            <w:r w:rsidR="00BA5099" w:rsidRPr="006C5B12">
              <w:rPr>
                <w:rFonts w:asciiTheme="minorHAnsi" w:hAnsiTheme="minorHAnsi" w:cstheme="minorBidi"/>
                <w:color w:val="auto"/>
                <w:sz w:val="20"/>
                <w:szCs w:val="20"/>
              </w:rPr>
              <w:t xml:space="preserve"> 3</w:t>
            </w:r>
          </w:p>
        </w:tc>
        <w:tc>
          <w:tcPr>
            <w:tcW w:w="6675" w:type="dxa"/>
            <w:tcBorders>
              <w:top w:val="single" w:sz="4" w:space="0" w:color="auto"/>
              <w:left w:val="single" w:sz="4" w:space="0" w:color="auto"/>
              <w:bottom w:val="single" w:sz="4" w:space="0" w:color="auto"/>
              <w:right w:val="single" w:sz="4" w:space="0" w:color="auto"/>
            </w:tcBorders>
            <w:shd w:val="clear" w:color="auto" w:fill="auto"/>
          </w:tcPr>
          <w:p w14:paraId="765C8288" w14:textId="45CA9038" w:rsidR="00BA5099" w:rsidRPr="006C5B12" w:rsidRDefault="00484EE9" w:rsidP="006C5B12">
            <w:pPr>
              <w:pStyle w:val="Default"/>
              <w:spacing w:after="60"/>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t>Manufacturers shall establish, implement, document and maintain a risk management system.</w:t>
            </w:r>
            <w:r w:rsidR="00BA5099" w:rsidRPr="006C5B12">
              <w:rPr>
                <w:rFonts w:asciiTheme="minorHAnsi" w:hAnsiTheme="minorHAnsi" w:cstheme="minorBidi"/>
                <w:i/>
                <w:iCs/>
                <w:color w:val="auto"/>
                <w:sz w:val="20"/>
                <w:szCs w:val="20"/>
              </w:rPr>
              <w:t xml:space="preserve"> </w:t>
            </w:r>
            <w:r w:rsidR="006C5B12" w:rsidRPr="006C5B12">
              <w:rPr>
                <w:rFonts w:asciiTheme="minorHAnsi" w:hAnsiTheme="minorHAnsi" w:cstheme="minorBidi"/>
                <w:i/>
                <w:iCs/>
                <w:color w:val="auto"/>
                <w:sz w:val="20"/>
                <w:szCs w:val="20"/>
              </w:rPr>
              <w:t xml:space="preserve">Risk management shall be understood as a continuous iterative process throughout the entire lifecycle of a device, requiring regular systematic updating. In carrying out risk management manufacturers shall: </w:t>
            </w:r>
          </w:p>
        </w:tc>
        <w:tc>
          <w:tcPr>
            <w:tcW w:w="1134" w:type="dxa"/>
            <w:tcBorders>
              <w:top w:val="single" w:sz="4" w:space="0" w:color="auto"/>
              <w:left w:val="single" w:sz="4" w:space="0" w:color="auto"/>
              <w:bottom w:val="single" w:sz="4" w:space="0" w:color="auto"/>
              <w:right w:val="single" w:sz="4" w:space="0" w:color="auto"/>
            </w:tcBorders>
          </w:tcPr>
          <w:p w14:paraId="4FE7B4F6" w14:textId="77777777" w:rsidR="00BA5099" w:rsidRPr="006C5B12" w:rsidRDefault="00BA5099" w:rsidP="00F4147C">
            <w:pPr>
              <w:pStyle w:val="Default"/>
              <w:spacing w:after="60"/>
              <w:jc w:val="center"/>
              <w:rPr>
                <w:rFonts w:asciiTheme="minorHAnsi" w:hAnsiTheme="minorHAnsi" w:cstheme="minorBidi"/>
                <w:i/>
                <w:iCs/>
                <w:color w:val="auto"/>
                <w:sz w:val="20"/>
                <w:szCs w:val="20"/>
              </w:rPr>
            </w:pPr>
          </w:p>
        </w:tc>
      </w:tr>
      <w:tr w:rsidR="00BA5099" w:rsidRPr="006C5B12" w14:paraId="57ADC871" w14:textId="07162BEB" w:rsidTr="00F4147C">
        <w:trPr>
          <w:trHeight w:val="284"/>
        </w:trPr>
        <w:tc>
          <w:tcPr>
            <w:tcW w:w="1263" w:type="dxa"/>
            <w:tcBorders>
              <w:top w:val="single" w:sz="4" w:space="0" w:color="auto"/>
              <w:left w:val="single" w:sz="4" w:space="0" w:color="auto"/>
              <w:bottom w:val="single" w:sz="4" w:space="0" w:color="auto"/>
              <w:right w:val="single" w:sz="4" w:space="0" w:color="auto"/>
            </w:tcBorders>
          </w:tcPr>
          <w:p w14:paraId="61ECA1D5" w14:textId="2FE7A846" w:rsidR="00BA5099" w:rsidRPr="006C5B12" w:rsidRDefault="00BA5099" w:rsidP="006525DE">
            <w:pPr>
              <w:pStyle w:val="Default"/>
              <w:spacing w:after="60"/>
              <w:jc w:val="right"/>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t>a)</w:t>
            </w:r>
          </w:p>
        </w:tc>
        <w:tc>
          <w:tcPr>
            <w:tcW w:w="6675" w:type="dxa"/>
            <w:tcBorders>
              <w:top w:val="single" w:sz="4" w:space="0" w:color="auto"/>
              <w:left w:val="single" w:sz="4" w:space="0" w:color="auto"/>
              <w:bottom w:val="single" w:sz="4" w:space="0" w:color="auto"/>
              <w:right w:val="single" w:sz="4" w:space="0" w:color="auto"/>
            </w:tcBorders>
            <w:shd w:val="clear" w:color="auto" w:fill="auto"/>
            <w:hideMark/>
          </w:tcPr>
          <w:p w14:paraId="4E095925" w14:textId="72F30652" w:rsidR="00BA5099" w:rsidRPr="006C5B12" w:rsidRDefault="006C5B12" w:rsidP="006525DE">
            <w:pPr>
              <w:pStyle w:val="Default"/>
              <w:spacing w:after="60"/>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t>establish and document an RM-plan for each device</w:t>
            </w:r>
          </w:p>
        </w:tc>
        <w:tc>
          <w:tcPr>
            <w:tcW w:w="1134" w:type="dxa"/>
            <w:tcBorders>
              <w:top w:val="single" w:sz="4" w:space="0" w:color="auto"/>
              <w:left w:val="single" w:sz="4" w:space="0" w:color="auto"/>
              <w:bottom w:val="single" w:sz="4" w:space="0" w:color="auto"/>
              <w:right w:val="single" w:sz="4" w:space="0" w:color="auto"/>
            </w:tcBorders>
          </w:tcPr>
          <w:p w14:paraId="789F9515" w14:textId="67CDCE38" w:rsidR="00BA5099" w:rsidRPr="006C5B12" w:rsidRDefault="00BA5099" w:rsidP="00F4147C">
            <w:pPr>
              <w:pStyle w:val="Default"/>
              <w:spacing w:after="60"/>
              <w:jc w:val="center"/>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fldChar w:fldCharType="begin"/>
            </w:r>
            <w:r w:rsidRPr="006C5B12">
              <w:rPr>
                <w:rFonts w:asciiTheme="minorHAnsi" w:hAnsiTheme="minorHAnsi" w:cstheme="minorBidi"/>
                <w:i/>
                <w:iCs/>
                <w:color w:val="auto"/>
                <w:sz w:val="20"/>
                <w:szCs w:val="20"/>
              </w:rPr>
              <w:instrText xml:space="preserve"> REF _Ref71886636 \r \h  \* MERGEFORMAT </w:instrText>
            </w:r>
            <w:r w:rsidRPr="006C5B12">
              <w:rPr>
                <w:rFonts w:asciiTheme="minorHAnsi" w:hAnsiTheme="minorHAnsi" w:cstheme="minorBidi"/>
                <w:i/>
                <w:iCs/>
                <w:color w:val="auto"/>
                <w:sz w:val="20"/>
                <w:szCs w:val="20"/>
              </w:rPr>
            </w:r>
            <w:r w:rsidRPr="006C5B12">
              <w:rPr>
                <w:rFonts w:asciiTheme="minorHAnsi" w:hAnsiTheme="minorHAnsi" w:cstheme="minorBidi"/>
                <w:i/>
                <w:iCs/>
                <w:color w:val="auto"/>
                <w:sz w:val="20"/>
                <w:szCs w:val="20"/>
              </w:rPr>
              <w:fldChar w:fldCharType="separate"/>
            </w:r>
            <w:r w:rsidR="00087CA3" w:rsidRPr="006C5B12">
              <w:rPr>
                <w:rFonts w:asciiTheme="minorHAnsi" w:hAnsiTheme="minorHAnsi" w:cstheme="minorBidi"/>
                <w:i/>
                <w:iCs/>
                <w:color w:val="auto"/>
                <w:sz w:val="20"/>
                <w:szCs w:val="20"/>
              </w:rPr>
              <w:t>2.1</w:t>
            </w:r>
            <w:r w:rsidRPr="006C5B12">
              <w:rPr>
                <w:rFonts w:asciiTheme="minorHAnsi" w:hAnsiTheme="minorHAnsi" w:cstheme="minorBidi"/>
                <w:i/>
                <w:iCs/>
                <w:color w:val="auto"/>
                <w:sz w:val="20"/>
                <w:szCs w:val="20"/>
              </w:rPr>
              <w:fldChar w:fldCharType="end"/>
            </w:r>
          </w:p>
        </w:tc>
      </w:tr>
      <w:tr w:rsidR="00BA5099" w:rsidRPr="006C5B12" w14:paraId="22811CBA" w14:textId="1D27481C" w:rsidTr="00F4147C">
        <w:trPr>
          <w:trHeight w:val="284"/>
        </w:trPr>
        <w:tc>
          <w:tcPr>
            <w:tcW w:w="1263" w:type="dxa"/>
            <w:tcBorders>
              <w:top w:val="single" w:sz="4" w:space="0" w:color="auto"/>
              <w:left w:val="single" w:sz="4" w:space="0" w:color="auto"/>
              <w:bottom w:val="single" w:sz="4" w:space="0" w:color="auto"/>
              <w:right w:val="single" w:sz="4" w:space="0" w:color="auto"/>
            </w:tcBorders>
          </w:tcPr>
          <w:p w14:paraId="2C7BFE3B" w14:textId="59D19DF8" w:rsidR="00BA5099" w:rsidRPr="006C5B12" w:rsidRDefault="00BA5099" w:rsidP="006525DE">
            <w:pPr>
              <w:pStyle w:val="Default"/>
              <w:spacing w:after="60"/>
              <w:jc w:val="right"/>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t>b)</w:t>
            </w:r>
          </w:p>
        </w:tc>
        <w:tc>
          <w:tcPr>
            <w:tcW w:w="6675" w:type="dxa"/>
            <w:tcBorders>
              <w:top w:val="single" w:sz="4" w:space="0" w:color="auto"/>
              <w:left w:val="single" w:sz="4" w:space="0" w:color="auto"/>
              <w:bottom w:val="single" w:sz="4" w:space="0" w:color="auto"/>
              <w:right w:val="single" w:sz="4" w:space="0" w:color="auto"/>
            </w:tcBorders>
            <w:shd w:val="clear" w:color="auto" w:fill="auto"/>
          </w:tcPr>
          <w:p w14:paraId="2BD4EC7C" w14:textId="09C2969E" w:rsidR="00BA5099" w:rsidRPr="006C5B12" w:rsidRDefault="006C5B12" w:rsidP="006525DE">
            <w:pPr>
              <w:pStyle w:val="Default"/>
              <w:spacing w:after="60"/>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t xml:space="preserve">identify and analyse the known and foreseeable hazards associated with each device </w:t>
            </w:r>
          </w:p>
        </w:tc>
        <w:tc>
          <w:tcPr>
            <w:tcW w:w="1134" w:type="dxa"/>
            <w:tcBorders>
              <w:top w:val="single" w:sz="4" w:space="0" w:color="auto"/>
              <w:left w:val="single" w:sz="4" w:space="0" w:color="auto"/>
              <w:bottom w:val="single" w:sz="4" w:space="0" w:color="auto"/>
              <w:right w:val="single" w:sz="4" w:space="0" w:color="auto"/>
            </w:tcBorders>
          </w:tcPr>
          <w:p w14:paraId="070608DB" w14:textId="3E02315B" w:rsidR="00BA5099" w:rsidRPr="006C5B12" w:rsidRDefault="00BA5099" w:rsidP="00F4147C">
            <w:pPr>
              <w:pStyle w:val="Default"/>
              <w:spacing w:after="60"/>
              <w:jc w:val="center"/>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fldChar w:fldCharType="begin"/>
            </w:r>
            <w:r w:rsidRPr="006C5B12">
              <w:rPr>
                <w:rFonts w:asciiTheme="minorHAnsi" w:hAnsiTheme="minorHAnsi" w:cstheme="minorBidi"/>
                <w:i/>
                <w:iCs/>
                <w:color w:val="auto"/>
                <w:sz w:val="20"/>
                <w:szCs w:val="20"/>
              </w:rPr>
              <w:instrText xml:space="preserve"> REF _Ref71886644 \r \h  \* MERGEFORMAT </w:instrText>
            </w:r>
            <w:r w:rsidRPr="006C5B12">
              <w:rPr>
                <w:rFonts w:asciiTheme="minorHAnsi" w:hAnsiTheme="minorHAnsi" w:cstheme="minorBidi"/>
                <w:i/>
                <w:iCs/>
                <w:color w:val="auto"/>
                <w:sz w:val="20"/>
                <w:szCs w:val="20"/>
              </w:rPr>
            </w:r>
            <w:r w:rsidRPr="006C5B12">
              <w:rPr>
                <w:rFonts w:asciiTheme="minorHAnsi" w:hAnsiTheme="minorHAnsi" w:cstheme="minorBidi"/>
                <w:i/>
                <w:iCs/>
                <w:color w:val="auto"/>
                <w:sz w:val="20"/>
                <w:szCs w:val="20"/>
              </w:rPr>
              <w:fldChar w:fldCharType="separate"/>
            </w:r>
            <w:r w:rsidR="00087CA3" w:rsidRPr="006C5B12">
              <w:rPr>
                <w:rFonts w:asciiTheme="minorHAnsi" w:hAnsiTheme="minorHAnsi" w:cstheme="minorBidi"/>
                <w:i/>
                <w:iCs/>
                <w:color w:val="auto"/>
                <w:sz w:val="20"/>
                <w:szCs w:val="20"/>
              </w:rPr>
              <w:t>2.2</w:t>
            </w:r>
            <w:r w:rsidRPr="006C5B12">
              <w:rPr>
                <w:rFonts w:asciiTheme="minorHAnsi" w:hAnsiTheme="minorHAnsi" w:cstheme="minorBidi"/>
                <w:i/>
                <w:iCs/>
                <w:color w:val="auto"/>
                <w:sz w:val="20"/>
                <w:szCs w:val="20"/>
              </w:rPr>
              <w:fldChar w:fldCharType="end"/>
            </w:r>
          </w:p>
        </w:tc>
      </w:tr>
      <w:tr w:rsidR="00BA5099" w:rsidRPr="006C5B12" w14:paraId="0039F7FE" w14:textId="0D8E7342" w:rsidTr="00F4147C">
        <w:trPr>
          <w:trHeight w:val="284"/>
        </w:trPr>
        <w:tc>
          <w:tcPr>
            <w:tcW w:w="1263" w:type="dxa"/>
            <w:tcBorders>
              <w:top w:val="single" w:sz="4" w:space="0" w:color="auto"/>
              <w:left w:val="single" w:sz="4" w:space="0" w:color="auto"/>
              <w:bottom w:val="single" w:sz="4" w:space="0" w:color="auto"/>
              <w:right w:val="single" w:sz="4" w:space="0" w:color="auto"/>
            </w:tcBorders>
          </w:tcPr>
          <w:p w14:paraId="79F633B5" w14:textId="5655CFF0" w:rsidR="00BA5099" w:rsidRPr="006C5B12" w:rsidRDefault="00BA5099" w:rsidP="006525DE">
            <w:pPr>
              <w:pStyle w:val="Default"/>
              <w:spacing w:after="60"/>
              <w:jc w:val="right"/>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t>c)</w:t>
            </w:r>
          </w:p>
        </w:tc>
        <w:tc>
          <w:tcPr>
            <w:tcW w:w="6675" w:type="dxa"/>
            <w:tcBorders>
              <w:top w:val="single" w:sz="4" w:space="0" w:color="auto"/>
              <w:left w:val="single" w:sz="4" w:space="0" w:color="auto"/>
              <w:bottom w:val="single" w:sz="4" w:space="0" w:color="auto"/>
              <w:right w:val="single" w:sz="4" w:space="0" w:color="auto"/>
            </w:tcBorders>
            <w:shd w:val="clear" w:color="auto" w:fill="auto"/>
          </w:tcPr>
          <w:p w14:paraId="752AA647" w14:textId="40BC1DCB" w:rsidR="00BA5099" w:rsidRPr="006C5B12" w:rsidRDefault="006C5B12" w:rsidP="006525DE">
            <w:pPr>
              <w:pStyle w:val="Default"/>
              <w:spacing w:after="60"/>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t>estimate and evaluate the risks associated with, and occurring during, the intended use and during reasonably foreseeable misuse</w:t>
            </w:r>
            <w:r>
              <w:rPr>
                <w:shd w:val="clear" w:color="auto" w:fill="FFFFFF"/>
              </w:rPr>
              <w:t xml:space="preserve"> </w:t>
            </w:r>
          </w:p>
        </w:tc>
        <w:tc>
          <w:tcPr>
            <w:tcW w:w="1134" w:type="dxa"/>
            <w:tcBorders>
              <w:top w:val="single" w:sz="4" w:space="0" w:color="auto"/>
              <w:left w:val="single" w:sz="4" w:space="0" w:color="auto"/>
              <w:bottom w:val="single" w:sz="4" w:space="0" w:color="auto"/>
              <w:right w:val="single" w:sz="4" w:space="0" w:color="auto"/>
            </w:tcBorders>
          </w:tcPr>
          <w:p w14:paraId="2CE85935" w14:textId="4049A0A6" w:rsidR="00BA5099" w:rsidRPr="006C5B12" w:rsidRDefault="00BA5099" w:rsidP="00F4147C">
            <w:pPr>
              <w:pStyle w:val="Default"/>
              <w:spacing w:after="60"/>
              <w:jc w:val="center"/>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fldChar w:fldCharType="begin"/>
            </w:r>
            <w:r w:rsidRPr="006C5B12">
              <w:rPr>
                <w:rFonts w:asciiTheme="minorHAnsi" w:hAnsiTheme="minorHAnsi" w:cstheme="minorBidi"/>
                <w:i/>
                <w:iCs/>
                <w:color w:val="auto"/>
                <w:sz w:val="20"/>
                <w:szCs w:val="20"/>
              </w:rPr>
              <w:instrText xml:space="preserve"> REF _Ref71886651 \r \h  \* MERGEFORMAT </w:instrText>
            </w:r>
            <w:r w:rsidRPr="006C5B12">
              <w:rPr>
                <w:rFonts w:asciiTheme="minorHAnsi" w:hAnsiTheme="minorHAnsi" w:cstheme="minorBidi"/>
                <w:i/>
                <w:iCs/>
                <w:color w:val="auto"/>
                <w:sz w:val="20"/>
                <w:szCs w:val="20"/>
              </w:rPr>
            </w:r>
            <w:r w:rsidRPr="006C5B12">
              <w:rPr>
                <w:rFonts w:asciiTheme="minorHAnsi" w:hAnsiTheme="minorHAnsi" w:cstheme="minorBidi"/>
                <w:i/>
                <w:iCs/>
                <w:color w:val="auto"/>
                <w:sz w:val="20"/>
                <w:szCs w:val="20"/>
              </w:rPr>
              <w:fldChar w:fldCharType="separate"/>
            </w:r>
            <w:r w:rsidR="00087CA3" w:rsidRPr="006C5B12">
              <w:rPr>
                <w:rFonts w:asciiTheme="minorHAnsi" w:hAnsiTheme="minorHAnsi" w:cstheme="minorBidi"/>
                <w:i/>
                <w:iCs/>
                <w:color w:val="auto"/>
                <w:sz w:val="20"/>
                <w:szCs w:val="20"/>
              </w:rPr>
              <w:t>2.3</w:t>
            </w:r>
            <w:r w:rsidRPr="006C5B12">
              <w:rPr>
                <w:rFonts w:asciiTheme="minorHAnsi" w:hAnsiTheme="minorHAnsi" w:cstheme="minorBidi"/>
                <w:i/>
                <w:iCs/>
                <w:color w:val="auto"/>
                <w:sz w:val="20"/>
                <w:szCs w:val="20"/>
              </w:rPr>
              <w:fldChar w:fldCharType="end"/>
            </w:r>
          </w:p>
        </w:tc>
      </w:tr>
      <w:tr w:rsidR="00BA5099" w:rsidRPr="006C5B12" w14:paraId="366F6CF9" w14:textId="68B322DD" w:rsidTr="00F4147C">
        <w:trPr>
          <w:trHeight w:val="553"/>
        </w:trPr>
        <w:tc>
          <w:tcPr>
            <w:tcW w:w="1263" w:type="dxa"/>
            <w:tcBorders>
              <w:top w:val="single" w:sz="4" w:space="0" w:color="auto"/>
              <w:left w:val="single" w:sz="4" w:space="0" w:color="auto"/>
              <w:bottom w:val="single" w:sz="4" w:space="0" w:color="auto"/>
              <w:right w:val="single" w:sz="4" w:space="0" w:color="auto"/>
            </w:tcBorders>
          </w:tcPr>
          <w:p w14:paraId="7BAAB613" w14:textId="0D1B7EE1" w:rsidR="00BA5099" w:rsidRPr="006C5B12" w:rsidRDefault="00BA5099" w:rsidP="006525DE">
            <w:pPr>
              <w:pStyle w:val="Default"/>
              <w:spacing w:after="60"/>
              <w:jc w:val="right"/>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t>d)</w:t>
            </w:r>
          </w:p>
        </w:tc>
        <w:tc>
          <w:tcPr>
            <w:tcW w:w="6675" w:type="dxa"/>
            <w:tcBorders>
              <w:top w:val="single" w:sz="4" w:space="0" w:color="auto"/>
              <w:left w:val="single" w:sz="4" w:space="0" w:color="auto"/>
              <w:bottom w:val="single" w:sz="4" w:space="0" w:color="auto"/>
              <w:right w:val="single" w:sz="4" w:space="0" w:color="auto"/>
            </w:tcBorders>
            <w:shd w:val="clear" w:color="auto" w:fill="auto"/>
          </w:tcPr>
          <w:p w14:paraId="5F17FDC6" w14:textId="51846B40" w:rsidR="00BA5099" w:rsidRPr="006C5B12" w:rsidRDefault="006C5B12" w:rsidP="008A5B5D">
            <w:pPr>
              <w:spacing w:after="0"/>
              <w:rPr>
                <w:i/>
                <w:iCs/>
                <w:sz w:val="20"/>
                <w:szCs w:val="20"/>
                <w:lang w:val="en-GB"/>
              </w:rPr>
            </w:pPr>
            <w:r>
              <w:rPr>
                <w:i/>
                <w:iCs/>
                <w:sz w:val="20"/>
                <w:szCs w:val="20"/>
                <w:lang w:val="en-GB"/>
              </w:rPr>
              <w:t xml:space="preserve">eliminate or control the risks referred to in point c in accordance with the requirements of Annex I, Chapter I, Section 4 of the IVDR </w:t>
            </w:r>
          </w:p>
        </w:tc>
        <w:tc>
          <w:tcPr>
            <w:tcW w:w="1134" w:type="dxa"/>
            <w:tcBorders>
              <w:top w:val="single" w:sz="4" w:space="0" w:color="auto"/>
              <w:left w:val="single" w:sz="4" w:space="0" w:color="auto"/>
              <w:bottom w:val="single" w:sz="4" w:space="0" w:color="auto"/>
              <w:right w:val="single" w:sz="4" w:space="0" w:color="auto"/>
            </w:tcBorders>
          </w:tcPr>
          <w:p w14:paraId="3B4D659B" w14:textId="44A82241" w:rsidR="00BA5099" w:rsidRPr="006C5B12" w:rsidRDefault="00BA5099" w:rsidP="00F4147C">
            <w:pPr>
              <w:jc w:val="center"/>
              <w:rPr>
                <w:i/>
                <w:iCs/>
                <w:sz w:val="20"/>
                <w:szCs w:val="20"/>
                <w:lang w:val="en-GB"/>
              </w:rPr>
            </w:pPr>
            <w:r w:rsidRPr="006C5B12">
              <w:rPr>
                <w:i/>
                <w:iCs/>
                <w:sz w:val="20"/>
                <w:szCs w:val="20"/>
                <w:lang w:val="en-GB"/>
              </w:rPr>
              <w:fldChar w:fldCharType="begin"/>
            </w:r>
            <w:r w:rsidRPr="006C5B12">
              <w:rPr>
                <w:i/>
                <w:iCs/>
                <w:sz w:val="20"/>
                <w:szCs w:val="20"/>
                <w:lang w:val="en-GB"/>
              </w:rPr>
              <w:instrText xml:space="preserve"> REF _Ref71886655 \r \h  \* MERGEFORMAT </w:instrText>
            </w:r>
            <w:r w:rsidRPr="006C5B12">
              <w:rPr>
                <w:i/>
                <w:iCs/>
                <w:sz w:val="20"/>
                <w:szCs w:val="20"/>
                <w:lang w:val="en-GB"/>
              </w:rPr>
            </w:r>
            <w:r w:rsidRPr="006C5B12">
              <w:rPr>
                <w:i/>
                <w:iCs/>
                <w:sz w:val="20"/>
                <w:szCs w:val="20"/>
                <w:lang w:val="en-GB"/>
              </w:rPr>
              <w:fldChar w:fldCharType="separate"/>
            </w:r>
            <w:r w:rsidR="00087CA3" w:rsidRPr="006C5B12">
              <w:rPr>
                <w:i/>
                <w:iCs/>
                <w:sz w:val="20"/>
                <w:szCs w:val="20"/>
                <w:lang w:val="en-GB"/>
              </w:rPr>
              <w:t>2.4</w:t>
            </w:r>
            <w:r w:rsidRPr="006C5B12">
              <w:rPr>
                <w:i/>
                <w:iCs/>
                <w:sz w:val="20"/>
                <w:szCs w:val="20"/>
                <w:lang w:val="en-GB"/>
              </w:rPr>
              <w:fldChar w:fldCharType="end"/>
            </w:r>
          </w:p>
        </w:tc>
      </w:tr>
      <w:tr w:rsidR="00BA5099" w:rsidRPr="006C5B12" w14:paraId="0B773165" w14:textId="233FC5AD" w:rsidTr="00F4147C">
        <w:trPr>
          <w:trHeight w:val="284"/>
        </w:trPr>
        <w:tc>
          <w:tcPr>
            <w:tcW w:w="1263" w:type="dxa"/>
            <w:tcBorders>
              <w:top w:val="single" w:sz="4" w:space="0" w:color="auto"/>
              <w:left w:val="single" w:sz="4" w:space="0" w:color="auto"/>
              <w:bottom w:val="single" w:sz="4" w:space="0" w:color="auto"/>
              <w:right w:val="single" w:sz="4" w:space="0" w:color="auto"/>
            </w:tcBorders>
          </w:tcPr>
          <w:p w14:paraId="2E1BC8A8" w14:textId="16D58896" w:rsidR="00BA5099" w:rsidRPr="006C5B12" w:rsidRDefault="00BA5099" w:rsidP="006525DE">
            <w:pPr>
              <w:pStyle w:val="Default"/>
              <w:spacing w:after="60"/>
              <w:jc w:val="right"/>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t>e)</w:t>
            </w:r>
          </w:p>
        </w:tc>
        <w:tc>
          <w:tcPr>
            <w:tcW w:w="6675" w:type="dxa"/>
            <w:tcBorders>
              <w:top w:val="single" w:sz="4" w:space="0" w:color="auto"/>
              <w:left w:val="single" w:sz="4" w:space="0" w:color="auto"/>
              <w:bottom w:val="single" w:sz="4" w:space="0" w:color="auto"/>
              <w:right w:val="single" w:sz="4" w:space="0" w:color="auto"/>
            </w:tcBorders>
            <w:shd w:val="clear" w:color="auto" w:fill="auto"/>
          </w:tcPr>
          <w:p w14:paraId="7AEDAF9E" w14:textId="2E9A6A47" w:rsidR="00BA5099" w:rsidRPr="006C5B12" w:rsidRDefault="008A5B5D" w:rsidP="006525DE">
            <w:pPr>
              <w:pStyle w:val="Default"/>
              <w:spacing w:after="60"/>
              <w:rPr>
                <w:rFonts w:asciiTheme="minorHAnsi" w:hAnsiTheme="minorHAnsi" w:cstheme="minorBidi"/>
                <w:i/>
                <w:iCs/>
                <w:color w:val="auto"/>
                <w:sz w:val="20"/>
                <w:szCs w:val="20"/>
              </w:rPr>
            </w:pPr>
            <w:r w:rsidRPr="008A5B5D">
              <w:rPr>
                <w:rFonts w:asciiTheme="minorHAnsi" w:hAnsiTheme="minorHAnsi" w:cstheme="minorBidi"/>
                <w:i/>
                <w:iCs/>
                <w:color w:val="auto"/>
                <w:sz w:val="20"/>
                <w:szCs w:val="20"/>
              </w:rPr>
              <w:t xml:space="preserve">evaluate the impact of information from the production phase and, in particular, from the post-market surveillance system, on hazards and the frequency of occurrence thereof, on estimates of their associated risks, as well as on the overall risk, the </w:t>
            </w:r>
            <w:r w:rsidR="001E6724">
              <w:rPr>
                <w:rFonts w:asciiTheme="minorHAnsi" w:hAnsiTheme="minorHAnsi" w:cstheme="minorBidi"/>
                <w:i/>
                <w:iCs/>
                <w:color w:val="auto"/>
                <w:sz w:val="20"/>
                <w:szCs w:val="20"/>
              </w:rPr>
              <w:t>risk-benefit</w:t>
            </w:r>
            <w:r w:rsidRPr="008A5B5D">
              <w:rPr>
                <w:rFonts w:asciiTheme="minorHAnsi" w:hAnsiTheme="minorHAnsi" w:cstheme="minorBidi"/>
                <w:i/>
                <w:iCs/>
                <w:color w:val="auto"/>
                <w:sz w:val="20"/>
                <w:szCs w:val="20"/>
              </w:rPr>
              <w:t xml:space="preserve"> ratio and risk acceptability; and</w:t>
            </w:r>
            <w:r>
              <w:rPr>
                <w:rFonts w:asciiTheme="minorHAnsi" w:hAnsiTheme="minorHAnsi" w:cstheme="minorBidi"/>
                <w:i/>
                <w:iCs/>
                <w:color w:val="auto"/>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608F3392" w14:textId="33330851" w:rsidR="00BA5099" w:rsidRPr="006C5B12" w:rsidRDefault="00BA5099" w:rsidP="00F4147C">
            <w:pPr>
              <w:pStyle w:val="Default"/>
              <w:spacing w:after="60"/>
              <w:jc w:val="center"/>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fldChar w:fldCharType="begin"/>
            </w:r>
            <w:r w:rsidRPr="006C5B12">
              <w:rPr>
                <w:rFonts w:asciiTheme="minorHAnsi" w:hAnsiTheme="minorHAnsi" w:cstheme="minorBidi"/>
                <w:i/>
                <w:iCs/>
                <w:color w:val="auto"/>
                <w:sz w:val="20"/>
                <w:szCs w:val="20"/>
              </w:rPr>
              <w:instrText xml:space="preserve"> REF _Ref71886659 \r \h  \* MERGEFORMAT </w:instrText>
            </w:r>
            <w:r w:rsidRPr="006C5B12">
              <w:rPr>
                <w:rFonts w:asciiTheme="minorHAnsi" w:hAnsiTheme="minorHAnsi" w:cstheme="minorBidi"/>
                <w:i/>
                <w:iCs/>
                <w:color w:val="auto"/>
                <w:sz w:val="20"/>
                <w:szCs w:val="20"/>
              </w:rPr>
            </w:r>
            <w:r w:rsidRPr="006C5B12">
              <w:rPr>
                <w:rFonts w:asciiTheme="minorHAnsi" w:hAnsiTheme="minorHAnsi" w:cstheme="minorBidi"/>
                <w:i/>
                <w:iCs/>
                <w:color w:val="auto"/>
                <w:sz w:val="20"/>
                <w:szCs w:val="20"/>
              </w:rPr>
              <w:fldChar w:fldCharType="separate"/>
            </w:r>
            <w:r w:rsidR="00087CA3" w:rsidRPr="006C5B12">
              <w:rPr>
                <w:rFonts w:asciiTheme="minorHAnsi" w:hAnsiTheme="minorHAnsi" w:cstheme="minorBidi"/>
                <w:i/>
                <w:iCs/>
                <w:color w:val="auto"/>
                <w:sz w:val="20"/>
                <w:szCs w:val="20"/>
              </w:rPr>
              <w:t>2.5</w:t>
            </w:r>
            <w:r w:rsidRPr="006C5B12">
              <w:rPr>
                <w:rFonts w:asciiTheme="minorHAnsi" w:hAnsiTheme="minorHAnsi" w:cstheme="minorBidi"/>
                <w:i/>
                <w:iCs/>
                <w:color w:val="auto"/>
                <w:sz w:val="20"/>
                <w:szCs w:val="20"/>
              </w:rPr>
              <w:fldChar w:fldCharType="end"/>
            </w:r>
          </w:p>
        </w:tc>
      </w:tr>
      <w:tr w:rsidR="00BA5099" w:rsidRPr="006C5B12" w14:paraId="0455A15A" w14:textId="70BA4AF1" w:rsidTr="00F4147C">
        <w:trPr>
          <w:trHeight w:val="284"/>
        </w:trPr>
        <w:tc>
          <w:tcPr>
            <w:tcW w:w="1263" w:type="dxa"/>
            <w:tcBorders>
              <w:top w:val="single" w:sz="4" w:space="0" w:color="auto"/>
              <w:left w:val="single" w:sz="4" w:space="0" w:color="auto"/>
              <w:bottom w:val="single" w:sz="4" w:space="0" w:color="auto"/>
              <w:right w:val="single" w:sz="4" w:space="0" w:color="auto"/>
            </w:tcBorders>
          </w:tcPr>
          <w:p w14:paraId="13643599" w14:textId="3F1DEA12" w:rsidR="00BA5099" w:rsidRPr="006C5B12" w:rsidRDefault="00BA5099" w:rsidP="006525DE">
            <w:pPr>
              <w:pStyle w:val="Default"/>
              <w:spacing w:after="60"/>
              <w:jc w:val="right"/>
              <w:rPr>
                <w:rFonts w:asciiTheme="minorHAnsi" w:hAnsiTheme="minorHAnsi" w:cstheme="minorBidi"/>
                <w:i/>
                <w:iCs/>
                <w:color w:val="auto"/>
                <w:sz w:val="20"/>
                <w:szCs w:val="20"/>
              </w:rPr>
            </w:pPr>
            <w:r w:rsidRPr="006C5B12">
              <w:rPr>
                <w:rFonts w:asciiTheme="minorHAnsi" w:hAnsiTheme="minorHAnsi" w:cstheme="minorBidi"/>
                <w:i/>
                <w:iCs/>
                <w:color w:val="auto"/>
                <w:sz w:val="20"/>
                <w:szCs w:val="20"/>
              </w:rPr>
              <w:t>f)</w:t>
            </w:r>
          </w:p>
        </w:tc>
        <w:tc>
          <w:tcPr>
            <w:tcW w:w="6675" w:type="dxa"/>
            <w:tcBorders>
              <w:top w:val="single" w:sz="4" w:space="0" w:color="auto"/>
              <w:left w:val="single" w:sz="4" w:space="0" w:color="auto"/>
              <w:bottom w:val="single" w:sz="4" w:space="0" w:color="auto"/>
              <w:right w:val="single" w:sz="4" w:space="0" w:color="auto"/>
            </w:tcBorders>
            <w:shd w:val="clear" w:color="auto" w:fill="auto"/>
          </w:tcPr>
          <w:p w14:paraId="0668FA43" w14:textId="74EBF00B" w:rsidR="00BA5099" w:rsidRPr="006C5B12" w:rsidRDefault="008A5B5D" w:rsidP="008A5B5D">
            <w:pPr>
              <w:spacing w:after="0"/>
              <w:rPr>
                <w:i/>
                <w:iCs/>
                <w:sz w:val="20"/>
                <w:szCs w:val="20"/>
                <w:lang w:val="en-GB"/>
              </w:rPr>
            </w:pPr>
            <w:r w:rsidRPr="008A5B5D">
              <w:rPr>
                <w:i/>
                <w:iCs/>
                <w:sz w:val="20"/>
                <w:szCs w:val="20"/>
                <w:lang w:val="en-GB"/>
              </w:rPr>
              <w:t>based on the evaluation of the impact of the information referred to in point e, if necessary</w:t>
            </w:r>
            <w:r w:rsidR="001E6724">
              <w:rPr>
                <w:i/>
                <w:iCs/>
                <w:sz w:val="20"/>
                <w:szCs w:val="20"/>
                <w:lang w:val="en-GB"/>
              </w:rPr>
              <w:t>,</w:t>
            </w:r>
            <w:r w:rsidRPr="008A5B5D">
              <w:rPr>
                <w:i/>
                <w:iCs/>
                <w:sz w:val="20"/>
                <w:szCs w:val="20"/>
                <w:lang w:val="en-GB"/>
              </w:rPr>
              <w:t xml:space="preserve"> amend control measures in line with the requirements of</w:t>
            </w:r>
            <w:r w:rsidRPr="00A71F51">
              <w:rPr>
                <w:color w:val="000000"/>
                <w:shd w:val="clear" w:color="auto" w:fill="FFFFFF"/>
                <w:lang w:val="en-GB"/>
              </w:rPr>
              <w:t xml:space="preserve"> </w:t>
            </w:r>
            <w:r>
              <w:rPr>
                <w:i/>
                <w:iCs/>
                <w:sz w:val="20"/>
                <w:szCs w:val="20"/>
                <w:lang w:val="en-GB"/>
              </w:rPr>
              <w:t xml:space="preserve">Annex I, Chapter I, Section 4 of the IVDR.  </w:t>
            </w:r>
          </w:p>
        </w:tc>
        <w:tc>
          <w:tcPr>
            <w:tcW w:w="1134" w:type="dxa"/>
            <w:tcBorders>
              <w:top w:val="single" w:sz="4" w:space="0" w:color="auto"/>
              <w:left w:val="single" w:sz="4" w:space="0" w:color="auto"/>
              <w:bottom w:val="single" w:sz="4" w:space="0" w:color="auto"/>
              <w:right w:val="single" w:sz="4" w:space="0" w:color="auto"/>
            </w:tcBorders>
          </w:tcPr>
          <w:p w14:paraId="35D9F6C3" w14:textId="7C34729A" w:rsidR="00BA5099" w:rsidRPr="006C5B12" w:rsidRDefault="00BA5099" w:rsidP="00F4147C">
            <w:pPr>
              <w:jc w:val="center"/>
              <w:rPr>
                <w:i/>
                <w:iCs/>
                <w:sz w:val="20"/>
                <w:szCs w:val="20"/>
                <w:lang w:val="en-GB"/>
              </w:rPr>
            </w:pPr>
            <w:r w:rsidRPr="006C5B12">
              <w:rPr>
                <w:i/>
                <w:iCs/>
                <w:sz w:val="20"/>
                <w:szCs w:val="20"/>
                <w:lang w:val="en-GB"/>
              </w:rPr>
              <w:fldChar w:fldCharType="begin"/>
            </w:r>
            <w:r w:rsidRPr="006C5B12">
              <w:rPr>
                <w:i/>
                <w:iCs/>
                <w:sz w:val="20"/>
                <w:szCs w:val="20"/>
                <w:lang w:val="en-GB"/>
              </w:rPr>
              <w:instrText xml:space="preserve"> REF _Ref71886662 \r \h  \* MERGEFORMAT </w:instrText>
            </w:r>
            <w:r w:rsidRPr="006C5B12">
              <w:rPr>
                <w:i/>
                <w:iCs/>
                <w:sz w:val="20"/>
                <w:szCs w:val="20"/>
                <w:lang w:val="en-GB"/>
              </w:rPr>
            </w:r>
            <w:r w:rsidRPr="006C5B12">
              <w:rPr>
                <w:i/>
                <w:iCs/>
                <w:sz w:val="20"/>
                <w:szCs w:val="20"/>
                <w:lang w:val="en-GB"/>
              </w:rPr>
              <w:fldChar w:fldCharType="separate"/>
            </w:r>
            <w:r w:rsidR="00087CA3" w:rsidRPr="006C5B12">
              <w:rPr>
                <w:i/>
                <w:iCs/>
                <w:sz w:val="20"/>
                <w:szCs w:val="20"/>
                <w:lang w:val="en-GB"/>
              </w:rPr>
              <w:t>2.6</w:t>
            </w:r>
            <w:r w:rsidRPr="006C5B12">
              <w:rPr>
                <w:i/>
                <w:iCs/>
                <w:sz w:val="20"/>
                <w:szCs w:val="20"/>
                <w:lang w:val="en-GB"/>
              </w:rPr>
              <w:fldChar w:fldCharType="end"/>
            </w:r>
          </w:p>
        </w:tc>
      </w:tr>
    </w:tbl>
    <w:p w14:paraId="502CA891" w14:textId="77777777" w:rsidR="00A70541" w:rsidRPr="006C5B12" w:rsidRDefault="00A70541" w:rsidP="009B2475">
      <w:pPr>
        <w:jc w:val="both"/>
        <w:rPr>
          <w:lang w:val="en-GB"/>
        </w:rPr>
      </w:pPr>
    </w:p>
    <w:p w14:paraId="0A00E208" w14:textId="77777777" w:rsidR="00D93696" w:rsidRPr="006C5B12" w:rsidRDefault="00D93696">
      <w:pPr>
        <w:rPr>
          <w:rFonts w:cstheme="minorHAnsi"/>
          <w:lang w:val="en-GB"/>
        </w:rPr>
      </w:pPr>
      <w:r w:rsidRPr="006C5B12">
        <w:rPr>
          <w:rFonts w:cstheme="minorHAnsi"/>
          <w:lang w:val="en-GB"/>
        </w:rPr>
        <w:br w:type="page"/>
      </w:r>
    </w:p>
    <w:p w14:paraId="56C04150" w14:textId="46C01779" w:rsidR="00E42172" w:rsidRPr="006C5B12" w:rsidRDefault="00E420EE" w:rsidP="003C64CB">
      <w:pPr>
        <w:jc w:val="both"/>
        <w:rPr>
          <w:rFonts w:cstheme="minorHAnsi"/>
          <w:lang w:val="en-GB"/>
        </w:rPr>
      </w:pPr>
      <w:r w:rsidRPr="00E420EE">
        <w:rPr>
          <w:rFonts w:cstheme="minorHAnsi"/>
          <w:lang w:val="en-GB"/>
        </w:rPr>
        <w:lastRenderedPageBreak/>
        <w:t>The purpose of this document is to address the above points in relation to</w:t>
      </w:r>
      <w:r>
        <w:rPr>
          <w:rFonts w:cstheme="minorHAnsi"/>
          <w:lang w:val="en-GB"/>
        </w:rPr>
        <w:t xml:space="preserve"> the</w:t>
      </w:r>
      <w:r w:rsidRPr="00E420EE">
        <w:rPr>
          <w:rFonts w:cstheme="minorHAnsi"/>
          <w:lang w:val="en-GB"/>
        </w:rPr>
        <w:t xml:space="preserve"> IVDR-compliant use </w:t>
      </w:r>
      <w:r w:rsidR="003A00F8" w:rsidRPr="00E420EE">
        <w:rPr>
          <w:rFonts w:cstheme="minorHAnsi"/>
          <w:lang w:val="en-GB"/>
        </w:rPr>
        <w:t xml:space="preserve">of in-house IVDs </w:t>
      </w:r>
      <w:r w:rsidR="00304A21" w:rsidRPr="00E420EE">
        <w:rPr>
          <w:rFonts w:cstheme="minorHAnsi"/>
          <w:lang w:val="en-GB"/>
        </w:rPr>
        <w:t>by laboratories</w:t>
      </w:r>
      <w:r w:rsidRPr="00E420EE">
        <w:rPr>
          <w:rFonts w:cstheme="minorHAnsi"/>
          <w:lang w:val="en-GB"/>
        </w:rPr>
        <w:t>.</w:t>
      </w:r>
      <w:r w:rsidR="00D81F78" w:rsidRPr="006C5B12">
        <w:rPr>
          <w:rFonts w:cstheme="minorHAnsi"/>
          <w:lang w:val="en-GB"/>
        </w:rPr>
        <w:t xml:space="preserve"> </w:t>
      </w:r>
    </w:p>
    <w:p w14:paraId="45874628" w14:textId="7DEF5353" w:rsidR="00E42172" w:rsidRPr="006C5B12" w:rsidRDefault="00E420EE" w:rsidP="003C64CB">
      <w:pPr>
        <w:jc w:val="both"/>
        <w:rPr>
          <w:rFonts w:cstheme="minorHAnsi"/>
          <w:lang w:val="en-GB"/>
        </w:rPr>
      </w:pPr>
      <w:r w:rsidRPr="00E420EE">
        <w:rPr>
          <w:rFonts w:cstheme="minorHAnsi"/>
          <w:lang w:val="en-GB"/>
        </w:rPr>
        <w:t xml:space="preserve">The following sections of the IVDR must </w:t>
      </w:r>
      <w:r>
        <w:rPr>
          <w:rFonts w:cstheme="minorHAnsi"/>
          <w:lang w:val="en-GB"/>
        </w:rPr>
        <w:t>there</w:t>
      </w:r>
      <w:r w:rsidR="005C1B8D">
        <w:rPr>
          <w:rFonts w:cstheme="minorHAnsi"/>
          <w:lang w:val="en-GB"/>
        </w:rPr>
        <w:t>fore</w:t>
      </w:r>
      <w:r>
        <w:rPr>
          <w:rFonts w:cstheme="minorHAnsi"/>
          <w:lang w:val="en-GB"/>
        </w:rPr>
        <w:t xml:space="preserve"> </w:t>
      </w:r>
      <w:r w:rsidRPr="00E420EE">
        <w:rPr>
          <w:rFonts w:cstheme="minorHAnsi"/>
          <w:lang w:val="en-GB"/>
        </w:rPr>
        <w:t xml:space="preserve">also be considered: </w:t>
      </w:r>
    </w:p>
    <w:p w14:paraId="326B17AE" w14:textId="0F1E15FA" w:rsidR="00E42172" w:rsidRPr="006C5B12" w:rsidRDefault="00E42172" w:rsidP="00E42172">
      <w:pPr>
        <w:pStyle w:val="Beschriftung"/>
        <w:rPr>
          <w:lang w:val="en-GB"/>
        </w:rPr>
      </w:pPr>
      <w:r w:rsidRPr="006C5B12">
        <w:rPr>
          <w:lang w:val="en-GB"/>
        </w:rPr>
        <w:t xml:space="preserve">Table </w:t>
      </w:r>
      <w:r w:rsidR="00F80F8D" w:rsidRPr="006C5B12">
        <w:rPr>
          <w:noProof/>
          <w:lang w:val="en-GB"/>
        </w:rPr>
        <w:fldChar w:fldCharType="begin"/>
      </w:r>
      <w:r w:rsidR="00F80F8D" w:rsidRPr="006C5B12">
        <w:rPr>
          <w:noProof/>
          <w:lang w:val="en-GB"/>
        </w:rPr>
        <w:instrText xml:space="preserve"> SEQ Tabelle \* ARABIC </w:instrText>
      </w:r>
      <w:r w:rsidR="00F80F8D" w:rsidRPr="006C5B12">
        <w:rPr>
          <w:noProof/>
          <w:lang w:val="en-GB"/>
        </w:rPr>
        <w:fldChar w:fldCharType="separate"/>
      </w:r>
      <w:r w:rsidR="00087CA3" w:rsidRPr="006C5B12">
        <w:rPr>
          <w:noProof/>
          <w:lang w:val="en-GB"/>
        </w:rPr>
        <w:t>2</w:t>
      </w:r>
      <w:r w:rsidR="00F80F8D" w:rsidRPr="006C5B12">
        <w:rPr>
          <w:noProof/>
          <w:lang w:val="en-GB"/>
        </w:rPr>
        <w:fldChar w:fldCharType="end"/>
      </w:r>
      <w:r w:rsidRPr="006C5B12">
        <w:rPr>
          <w:lang w:val="en-GB"/>
        </w:rPr>
        <w:t xml:space="preserve"> </w:t>
      </w:r>
      <w:r w:rsidR="00840722" w:rsidRPr="006C5B12">
        <w:rPr>
          <w:lang w:val="en-GB"/>
        </w:rPr>
        <w:t xml:space="preserve">IVDR - </w:t>
      </w:r>
      <w:r w:rsidRPr="006C5B12">
        <w:rPr>
          <w:lang w:val="en-GB"/>
        </w:rPr>
        <w:t>A</w:t>
      </w:r>
      <w:r w:rsidR="00E420EE">
        <w:rPr>
          <w:lang w:val="en-GB"/>
        </w:rPr>
        <w:t>nnex</w:t>
      </w:r>
      <w:r w:rsidRPr="006C5B12">
        <w:rPr>
          <w:lang w:val="en-GB"/>
        </w:rPr>
        <w:t xml:space="preserve"> I, </w:t>
      </w:r>
      <w:r w:rsidR="00E420EE">
        <w:rPr>
          <w:lang w:val="en-GB"/>
        </w:rPr>
        <w:t>Chapter</w:t>
      </w:r>
      <w:r w:rsidRPr="006C5B12">
        <w:rPr>
          <w:lang w:val="en-GB"/>
        </w:rPr>
        <w:t xml:space="preserve"> I, </w:t>
      </w:r>
      <w:r w:rsidR="00E420EE">
        <w:rPr>
          <w:lang w:val="en-GB"/>
        </w:rPr>
        <w:t>Section</w:t>
      </w:r>
      <w:r w:rsidR="007E1250">
        <w:rPr>
          <w:lang w:val="en-GB"/>
        </w:rPr>
        <w:t>s</w:t>
      </w:r>
      <w:r w:rsidRPr="006C5B12">
        <w:rPr>
          <w:lang w:val="en-GB"/>
        </w:rPr>
        <w:t xml:space="preserve"> 1</w:t>
      </w:r>
      <w:r w:rsidR="00167BA4" w:rsidRPr="006C5B12">
        <w:rPr>
          <w:lang w:val="en-GB"/>
        </w:rPr>
        <w:t xml:space="preserve"> </w:t>
      </w:r>
      <w:r w:rsidR="00E420EE">
        <w:rPr>
          <w:lang w:val="en-GB"/>
        </w:rPr>
        <w:t>a</w:t>
      </w:r>
      <w:r w:rsidR="00167BA4" w:rsidRPr="006C5B12">
        <w:rPr>
          <w:lang w:val="en-GB"/>
        </w:rPr>
        <w:t>nd 8</w:t>
      </w:r>
      <w:r w:rsidRPr="006C5B12">
        <w:rPr>
          <w:lang w:val="en-GB"/>
        </w:rPr>
        <w:t xml:space="preserve"> </w:t>
      </w:r>
      <w:r w:rsidR="00E420EE">
        <w:rPr>
          <w:lang w:val="en-GB"/>
        </w:rPr>
        <w:t>of the</w:t>
      </w:r>
      <w:r w:rsidRPr="006C5B12">
        <w:rPr>
          <w:lang w:val="en-GB"/>
        </w:rPr>
        <w:t xml:space="preserve"> IVDR </w:t>
      </w:r>
    </w:p>
    <w:tbl>
      <w:tblPr>
        <w:tblW w:w="9072" w:type="dxa"/>
        <w:tblInd w:w="-5" w:type="dxa"/>
        <w:tblLook w:val="04A0" w:firstRow="1" w:lastRow="0" w:firstColumn="1" w:lastColumn="0" w:noHBand="0" w:noVBand="1"/>
      </w:tblPr>
      <w:tblGrid>
        <w:gridCol w:w="1276"/>
        <w:gridCol w:w="7796"/>
      </w:tblGrid>
      <w:tr w:rsidR="00E42172" w:rsidRPr="006C5B12" w14:paraId="0D4BB997" w14:textId="77777777" w:rsidTr="00776F4D">
        <w:trPr>
          <w:trHeight w:val="318"/>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1784068" w14:textId="77777777" w:rsidR="00E42172" w:rsidRPr="006C5B12" w:rsidRDefault="00E42172" w:rsidP="00776F4D">
            <w:pPr>
              <w:pStyle w:val="Default"/>
              <w:spacing w:after="60"/>
              <w:jc w:val="both"/>
              <w:rPr>
                <w:rFonts w:asciiTheme="minorHAnsi" w:hAnsiTheme="minorHAnsi" w:cstheme="minorBidi"/>
                <w:b/>
                <w:bCs/>
                <w:iCs/>
                <w:color w:val="auto"/>
                <w:sz w:val="20"/>
                <w:szCs w:val="20"/>
              </w:rPr>
            </w:pPr>
            <w:r w:rsidRPr="006C5B12">
              <w:rPr>
                <w:rFonts w:asciiTheme="minorHAnsi" w:hAnsiTheme="minorHAnsi" w:cstheme="minorBidi"/>
                <w:b/>
                <w:bCs/>
                <w:iCs/>
                <w:color w:val="auto"/>
                <w:sz w:val="20"/>
                <w:szCs w:val="20"/>
              </w:rPr>
              <w:t>IVDR</w:t>
            </w:r>
          </w:p>
        </w:tc>
      </w:tr>
      <w:tr w:rsidR="00E42172" w:rsidRPr="006C5B12" w14:paraId="141FD72D" w14:textId="77777777" w:rsidTr="00776F4D">
        <w:trPr>
          <w:trHeight w:val="280"/>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D1B873C" w14:textId="13713BC7" w:rsidR="00E42172" w:rsidRPr="006C5B12" w:rsidRDefault="00E42172" w:rsidP="00776F4D">
            <w:pPr>
              <w:pStyle w:val="Default"/>
              <w:spacing w:after="60"/>
              <w:jc w:val="both"/>
              <w:rPr>
                <w:rFonts w:asciiTheme="minorHAnsi" w:hAnsiTheme="minorHAnsi" w:cstheme="minorBidi"/>
                <w:iCs/>
                <w:color w:val="auto"/>
                <w:sz w:val="20"/>
                <w:szCs w:val="20"/>
              </w:rPr>
            </w:pPr>
            <w:r w:rsidRPr="006C5B12">
              <w:rPr>
                <w:rFonts w:asciiTheme="minorHAnsi" w:hAnsiTheme="minorHAnsi" w:cstheme="minorBidi"/>
                <w:iCs/>
                <w:color w:val="auto"/>
                <w:sz w:val="20"/>
                <w:szCs w:val="20"/>
              </w:rPr>
              <w:t>An</w:t>
            </w:r>
            <w:r w:rsidR="00E420EE">
              <w:rPr>
                <w:rFonts w:asciiTheme="minorHAnsi" w:hAnsiTheme="minorHAnsi" w:cstheme="minorBidi"/>
                <w:iCs/>
                <w:color w:val="auto"/>
                <w:sz w:val="20"/>
                <w:szCs w:val="20"/>
              </w:rPr>
              <w:t>nex</w:t>
            </w:r>
            <w:r w:rsidRPr="006C5B12">
              <w:rPr>
                <w:rFonts w:asciiTheme="minorHAnsi" w:hAnsiTheme="minorHAnsi" w:cstheme="minorBidi"/>
                <w:iCs/>
                <w:color w:val="auto"/>
                <w:sz w:val="20"/>
                <w:szCs w:val="20"/>
              </w:rPr>
              <w:t xml:space="preserve"> I </w:t>
            </w:r>
            <w:r w:rsidR="00E420EE">
              <w:rPr>
                <w:rFonts w:asciiTheme="minorHAnsi" w:hAnsiTheme="minorHAnsi" w:cstheme="minorBidi"/>
                <w:iCs/>
                <w:color w:val="auto"/>
                <w:sz w:val="20"/>
                <w:szCs w:val="20"/>
              </w:rPr>
              <w:t>Chapter</w:t>
            </w:r>
            <w:r w:rsidRPr="006C5B12">
              <w:rPr>
                <w:rFonts w:asciiTheme="minorHAnsi" w:hAnsiTheme="minorHAnsi" w:cstheme="minorBidi"/>
                <w:color w:val="auto"/>
                <w:sz w:val="20"/>
                <w:szCs w:val="20"/>
              </w:rPr>
              <w:t xml:space="preserve"> </w:t>
            </w:r>
            <w:r w:rsidR="00087CA3" w:rsidRPr="006C5B12">
              <w:rPr>
                <w:rFonts w:asciiTheme="minorHAnsi" w:hAnsiTheme="minorHAnsi" w:cstheme="minorBidi"/>
                <w:color w:val="auto"/>
                <w:sz w:val="20"/>
                <w:szCs w:val="20"/>
              </w:rPr>
              <w:t>I</w:t>
            </w:r>
          </w:p>
        </w:tc>
      </w:tr>
      <w:tr w:rsidR="00E42172" w:rsidRPr="00D02B35" w14:paraId="5A4B3350" w14:textId="77777777" w:rsidTr="00776F4D">
        <w:trPr>
          <w:trHeight w:val="284"/>
        </w:trPr>
        <w:tc>
          <w:tcPr>
            <w:tcW w:w="1276" w:type="dxa"/>
            <w:tcBorders>
              <w:top w:val="single" w:sz="4" w:space="0" w:color="auto"/>
              <w:left w:val="single" w:sz="4" w:space="0" w:color="auto"/>
              <w:bottom w:val="single" w:sz="4" w:space="0" w:color="auto"/>
              <w:right w:val="single" w:sz="4" w:space="0" w:color="auto"/>
            </w:tcBorders>
          </w:tcPr>
          <w:p w14:paraId="248E8CAD" w14:textId="4A3F88F1" w:rsidR="00E42172" w:rsidRPr="006C5B12" w:rsidRDefault="00E420EE" w:rsidP="00776F4D">
            <w:pPr>
              <w:pStyle w:val="Default"/>
              <w:spacing w:after="60"/>
              <w:rPr>
                <w:rFonts w:asciiTheme="minorHAnsi" w:hAnsiTheme="minorHAnsi" w:cstheme="minorBidi"/>
                <w:i/>
                <w:iCs/>
                <w:color w:val="auto"/>
                <w:sz w:val="20"/>
                <w:szCs w:val="20"/>
              </w:rPr>
            </w:pPr>
            <w:r>
              <w:rPr>
                <w:rFonts w:asciiTheme="minorHAnsi" w:hAnsiTheme="minorHAnsi" w:cstheme="minorBidi"/>
                <w:i/>
                <w:iCs/>
                <w:color w:val="auto"/>
                <w:sz w:val="20"/>
                <w:szCs w:val="20"/>
              </w:rPr>
              <w:t>Section</w:t>
            </w:r>
            <w:r w:rsidR="00E42172" w:rsidRPr="006C5B12">
              <w:rPr>
                <w:rFonts w:asciiTheme="minorHAnsi" w:hAnsiTheme="minorHAnsi" w:cstheme="minorBidi"/>
                <w:i/>
                <w:iCs/>
                <w:color w:val="auto"/>
                <w:sz w:val="20"/>
                <w:szCs w:val="20"/>
              </w:rPr>
              <w:t xml:space="preserve"> 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C703A7E" w14:textId="77777777" w:rsidR="00E420EE" w:rsidRPr="00E420EE" w:rsidRDefault="00E420EE" w:rsidP="00E42172">
            <w:pPr>
              <w:rPr>
                <w:i/>
                <w:iCs/>
                <w:sz w:val="20"/>
                <w:szCs w:val="20"/>
                <w:lang w:val="en-GB"/>
              </w:rPr>
            </w:pPr>
            <w:r w:rsidRPr="00E420EE">
              <w:rPr>
                <w:i/>
                <w:iCs/>
                <w:sz w:val="20"/>
                <w:szCs w:val="20"/>
                <w:lang w:val="en-GB"/>
              </w:rPr>
              <w:t xml:space="preserve">Devices shall achieve the performance intended by their manufacturer and shall be designed and manufactured in such a way that, during normal conditions of use, they are suitable for their intended purpose. </w:t>
            </w:r>
          </w:p>
          <w:p w14:paraId="1B9911C3" w14:textId="1C3F6B53" w:rsidR="00E42172" w:rsidRPr="006C5B12" w:rsidRDefault="00E420EE" w:rsidP="00E420EE">
            <w:pPr>
              <w:rPr>
                <w:i/>
                <w:iCs/>
                <w:sz w:val="20"/>
                <w:szCs w:val="20"/>
                <w:lang w:val="en-GB"/>
              </w:rPr>
            </w:pPr>
            <w:r w:rsidRPr="00E420EE">
              <w:rPr>
                <w:i/>
                <w:iCs/>
                <w:sz w:val="20"/>
                <w:szCs w:val="20"/>
                <w:lang w:val="en-GB"/>
              </w:rPr>
              <w:t xml:space="preserve">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w:t>
            </w:r>
            <w:proofErr w:type="gramStart"/>
            <w:r w:rsidRPr="00E420EE">
              <w:rPr>
                <w:i/>
                <w:iCs/>
                <w:sz w:val="20"/>
                <w:szCs w:val="20"/>
                <w:lang w:val="en-GB"/>
              </w:rPr>
              <w:t>taking into account</w:t>
            </w:r>
            <w:proofErr w:type="gramEnd"/>
            <w:r w:rsidRPr="00E420EE">
              <w:rPr>
                <w:i/>
                <w:iCs/>
                <w:sz w:val="20"/>
                <w:szCs w:val="20"/>
                <w:lang w:val="en-GB"/>
              </w:rPr>
              <w:t xml:space="preserve"> the generally acknowledged state of the art.</w:t>
            </w:r>
            <w:r>
              <w:rPr>
                <w:i/>
                <w:iCs/>
                <w:sz w:val="20"/>
                <w:szCs w:val="20"/>
                <w:lang w:val="en-GB"/>
              </w:rPr>
              <w:t xml:space="preserve"> </w:t>
            </w:r>
          </w:p>
        </w:tc>
      </w:tr>
      <w:tr w:rsidR="00167BA4" w:rsidRPr="00D02B35" w14:paraId="40F49A08" w14:textId="77777777" w:rsidTr="00776F4D">
        <w:trPr>
          <w:trHeight w:val="284"/>
        </w:trPr>
        <w:tc>
          <w:tcPr>
            <w:tcW w:w="1276" w:type="dxa"/>
            <w:tcBorders>
              <w:top w:val="single" w:sz="4" w:space="0" w:color="auto"/>
              <w:left w:val="single" w:sz="4" w:space="0" w:color="auto"/>
              <w:bottom w:val="single" w:sz="4" w:space="0" w:color="auto"/>
              <w:right w:val="single" w:sz="4" w:space="0" w:color="auto"/>
            </w:tcBorders>
          </w:tcPr>
          <w:p w14:paraId="5B64874C" w14:textId="14524238" w:rsidR="00167BA4" w:rsidRPr="006C5B12" w:rsidRDefault="00E420EE" w:rsidP="00167BA4">
            <w:pPr>
              <w:pStyle w:val="Default"/>
              <w:spacing w:after="60"/>
              <w:rPr>
                <w:rFonts w:asciiTheme="minorHAnsi" w:hAnsiTheme="minorHAnsi" w:cstheme="minorBidi"/>
                <w:i/>
                <w:iCs/>
                <w:color w:val="auto"/>
                <w:sz w:val="20"/>
                <w:szCs w:val="20"/>
              </w:rPr>
            </w:pPr>
            <w:r>
              <w:rPr>
                <w:rFonts w:asciiTheme="minorHAnsi" w:hAnsiTheme="minorHAnsi" w:cstheme="minorBidi"/>
                <w:i/>
                <w:color w:val="auto"/>
                <w:sz w:val="20"/>
                <w:szCs w:val="20"/>
              </w:rPr>
              <w:t>Section</w:t>
            </w:r>
            <w:r w:rsidR="00167BA4" w:rsidRPr="006C5B12">
              <w:rPr>
                <w:rFonts w:asciiTheme="minorHAnsi" w:hAnsiTheme="minorHAnsi" w:cstheme="minorBidi"/>
                <w:i/>
                <w:color w:val="auto"/>
                <w:sz w:val="20"/>
                <w:szCs w:val="20"/>
              </w:rPr>
              <w:t xml:space="preserve"> 8</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AA75855" w14:textId="5C8DD320" w:rsidR="00167BA4" w:rsidRPr="006C5B12" w:rsidRDefault="00E420EE" w:rsidP="00167BA4">
            <w:pPr>
              <w:rPr>
                <w:i/>
                <w:iCs/>
                <w:sz w:val="20"/>
                <w:szCs w:val="20"/>
                <w:lang w:val="en-GB"/>
              </w:rPr>
            </w:pPr>
            <w:r w:rsidRPr="00860A79">
              <w:rPr>
                <w:i/>
                <w:sz w:val="20"/>
                <w:szCs w:val="20"/>
                <w:lang w:val="en-GB"/>
              </w:rPr>
              <w:t>All known and foreseeable risks, and any undesirable effects shall be minimised and be acceptable when weighed against the evaluated potential benefits to the patients and/or the user arising from the intended performance of the device during normal conditions of use.</w:t>
            </w:r>
            <w:r w:rsidR="00860A79">
              <w:rPr>
                <w:i/>
                <w:sz w:val="20"/>
                <w:szCs w:val="20"/>
                <w:lang w:val="en-GB"/>
              </w:rPr>
              <w:t xml:space="preserve"> </w:t>
            </w:r>
          </w:p>
        </w:tc>
      </w:tr>
    </w:tbl>
    <w:p w14:paraId="3DB0604C" w14:textId="77777777" w:rsidR="00E42172" w:rsidRPr="006C5B12" w:rsidRDefault="00E42172" w:rsidP="003C64CB">
      <w:pPr>
        <w:jc w:val="both"/>
        <w:rPr>
          <w:rFonts w:cstheme="minorHAnsi"/>
          <w:lang w:val="en-GB"/>
        </w:rPr>
      </w:pPr>
    </w:p>
    <w:p w14:paraId="0F72D520" w14:textId="00C6B26B" w:rsidR="002D37E7" w:rsidRPr="006C5B12" w:rsidRDefault="00860A79" w:rsidP="0072608A">
      <w:pPr>
        <w:jc w:val="both"/>
        <w:rPr>
          <w:rFonts w:cstheme="minorHAnsi"/>
          <w:lang w:val="en-GB"/>
        </w:rPr>
      </w:pPr>
      <w:r w:rsidRPr="00860A79">
        <w:rPr>
          <w:rFonts w:cstheme="minorHAnsi"/>
          <w:lang w:val="en-GB"/>
        </w:rPr>
        <w:t xml:space="preserve">Although </w:t>
      </w:r>
      <w:r w:rsidR="00DF60D9">
        <w:rPr>
          <w:rFonts w:cstheme="minorHAnsi"/>
          <w:lang w:val="en-GB"/>
        </w:rPr>
        <w:t xml:space="preserve">it is </w:t>
      </w:r>
      <w:r w:rsidRPr="00860A79">
        <w:rPr>
          <w:rFonts w:cstheme="minorHAnsi"/>
          <w:lang w:val="en-GB"/>
        </w:rPr>
        <w:t xml:space="preserve">not explicitly </w:t>
      </w:r>
      <w:r w:rsidR="00304A21">
        <w:rPr>
          <w:rFonts w:cstheme="minorHAnsi"/>
          <w:lang w:val="en-GB"/>
        </w:rPr>
        <w:t>required</w:t>
      </w:r>
      <w:r w:rsidRPr="00860A79">
        <w:rPr>
          <w:rFonts w:cstheme="minorHAnsi"/>
          <w:lang w:val="en-GB"/>
        </w:rPr>
        <w:t xml:space="preserve">, the criteria of EN ISO 22367:2020, which </w:t>
      </w:r>
      <w:r w:rsidR="00304A21">
        <w:rPr>
          <w:rFonts w:cstheme="minorHAnsi"/>
          <w:lang w:val="en-GB"/>
        </w:rPr>
        <w:t>apply</w:t>
      </w:r>
      <w:r w:rsidRPr="00860A79">
        <w:rPr>
          <w:rFonts w:cstheme="minorHAnsi"/>
          <w:lang w:val="en-GB"/>
        </w:rPr>
        <w:t xml:space="preserve"> to </w:t>
      </w:r>
      <w:r w:rsidR="0070077C">
        <w:rPr>
          <w:rFonts w:cstheme="minorHAnsi"/>
          <w:lang w:val="en-GB"/>
        </w:rPr>
        <w:t xml:space="preserve">the </w:t>
      </w:r>
      <w:r w:rsidR="005C1B8D">
        <w:rPr>
          <w:rFonts w:cstheme="minorHAnsi"/>
          <w:lang w:val="en-GB"/>
        </w:rPr>
        <w:t>examination</w:t>
      </w:r>
      <w:r w:rsidRPr="00860A79">
        <w:rPr>
          <w:rFonts w:cstheme="minorHAnsi"/>
          <w:lang w:val="en-GB"/>
        </w:rPr>
        <w:t xml:space="preserve"> </w:t>
      </w:r>
      <w:r w:rsidR="005350ED">
        <w:rPr>
          <w:rFonts w:cstheme="minorHAnsi"/>
          <w:lang w:val="en-GB"/>
        </w:rPr>
        <w:t>procedures</w:t>
      </w:r>
      <w:r w:rsidRPr="00860A79">
        <w:rPr>
          <w:rFonts w:cstheme="minorHAnsi"/>
          <w:lang w:val="en-GB"/>
        </w:rPr>
        <w:t xml:space="preserve"> developed by medical laboratories for their own use, i.e.</w:t>
      </w:r>
      <w:r w:rsidR="005C1B8D">
        <w:rPr>
          <w:rFonts w:cstheme="minorHAnsi"/>
          <w:lang w:val="en-GB"/>
        </w:rPr>
        <w:t>,</w:t>
      </w:r>
      <w:r w:rsidRPr="00860A79">
        <w:rPr>
          <w:rFonts w:cstheme="minorHAnsi"/>
          <w:lang w:val="en-GB"/>
        </w:rPr>
        <w:t xml:space="preserve"> in-house IVDs, are used here as a possible basis for </w:t>
      </w:r>
      <w:r w:rsidR="0070077C">
        <w:rPr>
          <w:rFonts w:cstheme="minorHAnsi"/>
          <w:lang w:val="en-GB"/>
        </w:rPr>
        <w:t>the implementation of</w:t>
      </w:r>
      <w:r w:rsidRPr="00860A79">
        <w:rPr>
          <w:rFonts w:cstheme="minorHAnsi"/>
          <w:lang w:val="en-GB"/>
        </w:rPr>
        <w:t xml:space="preserve"> risk management </w:t>
      </w:r>
      <w:r w:rsidR="005C1B8D">
        <w:rPr>
          <w:rFonts w:cstheme="minorHAnsi"/>
          <w:lang w:val="en-GB"/>
        </w:rPr>
        <w:t xml:space="preserve">as </w:t>
      </w:r>
      <w:r w:rsidRPr="00860A79">
        <w:rPr>
          <w:rFonts w:cstheme="minorHAnsi"/>
          <w:lang w:val="en-GB"/>
        </w:rPr>
        <w:t xml:space="preserve">required </w:t>
      </w:r>
      <w:r w:rsidR="00304A21">
        <w:rPr>
          <w:rFonts w:cstheme="minorHAnsi"/>
          <w:lang w:val="en-GB"/>
        </w:rPr>
        <w:t>by</w:t>
      </w:r>
      <w:r w:rsidRPr="00860A79">
        <w:rPr>
          <w:rFonts w:cstheme="minorHAnsi"/>
          <w:lang w:val="en-GB"/>
        </w:rPr>
        <w:t xml:space="preserve"> the IVDR. </w:t>
      </w:r>
      <w:r w:rsidR="005C1B8D" w:rsidRPr="0070077C">
        <w:rPr>
          <w:rFonts w:cstheme="minorHAnsi"/>
          <w:b/>
          <w:lang w:val="en-GB"/>
        </w:rPr>
        <w:t>Annex 1</w:t>
      </w:r>
      <w:r w:rsidR="005C1B8D" w:rsidRPr="0070077C">
        <w:rPr>
          <w:rFonts w:cstheme="minorHAnsi"/>
          <w:lang w:val="en-GB"/>
        </w:rPr>
        <w:t xml:space="preserve"> of this document</w:t>
      </w:r>
      <w:r w:rsidR="005C1B8D">
        <w:rPr>
          <w:rFonts w:cstheme="minorHAnsi"/>
          <w:lang w:val="en-GB"/>
        </w:rPr>
        <w:t xml:space="preserve"> contains a</w:t>
      </w:r>
      <w:r w:rsidR="0070077C" w:rsidRPr="0070077C">
        <w:rPr>
          <w:rFonts w:cstheme="minorHAnsi"/>
          <w:lang w:val="en-GB"/>
        </w:rPr>
        <w:t>n overview of how the sections of the IVDR covered here can be placed</w:t>
      </w:r>
      <w:r w:rsidR="00DF60D9">
        <w:rPr>
          <w:rFonts w:cstheme="minorHAnsi"/>
          <w:lang w:val="en-GB"/>
        </w:rPr>
        <w:t xml:space="preserve"> with</w:t>
      </w:r>
      <w:r w:rsidR="0070077C" w:rsidRPr="0070077C">
        <w:rPr>
          <w:rFonts w:cstheme="minorHAnsi"/>
          <w:lang w:val="en-GB"/>
        </w:rPr>
        <w:t xml:space="preserve">in the context of a risk management process as defined </w:t>
      </w:r>
      <w:r w:rsidR="00DF60D9">
        <w:rPr>
          <w:rFonts w:cstheme="minorHAnsi"/>
          <w:lang w:val="en-GB"/>
        </w:rPr>
        <w:t>by</w:t>
      </w:r>
      <w:r w:rsidR="0070077C" w:rsidRPr="0070077C">
        <w:rPr>
          <w:rFonts w:cstheme="minorHAnsi"/>
          <w:lang w:val="en-GB"/>
        </w:rPr>
        <w:t xml:space="preserve"> EN ISO 22367:2020. </w:t>
      </w:r>
    </w:p>
    <w:p w14:paraId="32F26AB5" w14:textId="178717EB" w:rsidR="006514BA" w:rsidRPr="006C5B12" w:rsidRDefault="00E81CB3" w:rsidP="00F4147C">
      <w:pPr>
        <w:pStyle w:val="berschrift1"/>
        <w:rPr>
          <w:lang w:val="en-GB"/>
        </w:rPr>
      </w:pPr>
      <w:r w:rsidRPr="006C5B12">
        <w:rPr>
          <w:lang w:val="en-GB"/>
        </w:rPr>
        <w:t>Ad</w:t>
      </w:r>
      <w:r w:rsidR="0070077C">
        <w:rPr>
          <w:lang w:val="en-GB"/>
        </w:rPr>
        <w:t>d</w:t>
      </w:r>
      <w:r w:rsidRPr="006C5B12">
        <w:rPr>
          <w:lang w:val="en-GB"/>
        </w:rPr>
        <w:t>ress</w:t>
      </w:r>
      <w:r w:rsidR="0070077C">
        <w:rPr>
          <w:lang w:val="en-GB"/>
        </w:rPr>
        <w:t xml:space="preserve">ing </w:t>
      </w:r>
      <w:proofErr w:type="gramStart"/>
      <w:r w:rsidR="0070077C">
        <w:rPr>
          <w:lang w:val="en-GB"/>
        </w:rPr>
        <w:t>Annex</w:t>
      </w:r>
      <w:proofErr w:type="gramEnd"/>
      <w:r w:rsidRPr="006C5B12">
        <w:rPr>
          <w:lang w:val="en-GB"/>
        </w:rPr>
        <w:t xml:space="preserve"> I, </w:t>
      </w:r>
      <w:r w:rsidR="0070077C">
        <w:rPr>
          <w:lang w:val="en-GB"/>
        </w:rPr>
        <w:t>Chapter</w:t>
      </w:r>
      <w:r w:rsidRPr="006C5B12">
        <w:rPr>
          <w:lang w:val="en-GB"/>
        </w:rPr>
        <w:t xml:space="preserve"> I, </w:t>
      </w:r>
      <w:r w:rsidR="0070077C">
        <w:rPr>
          <w:lang w:val="en-GB"/>
        </w:rPr>
        <w:t>Section</w:t>
      </w:r>
      <w:r w:rsidRPr="006C5B12">
        <w:rPr>
          <w:lang w:val="en-GB"/>
        </w:rPr>
        <w:t xml:space="preserve"> 3 </w:t>
      </w:r>
      <w:r w:rsidR="0070077C">
        <w:rPr>
          <w:lang w:val="en-GB"/>
        </w:rPr>
        <w:t>of the</w:t>
      </w:r>
      <w:r w:rsidRPr="006C5B12">
        <w:rPr>
          <w:lang w:val="en-GB"/>
        </w:rPr>
        <w:t xml:space="preserve"> IVDR </w:t>
      </w:r>
    </w:p>
    <w:p w14:paraId="6FEC1E3B" w14:textId="740ECC3A" w:rsidR="003C64CB" w:rsidRPr="006C5B12" w:rsidRDefault="00E14A65" w:rsidP="009B2475">
      <w:pPr>
        <w:jc w:val="both"/>
        <w:rPr>
          <w:rFonts w:cstheme="minorHAnsi"/>
          <w:lang w:val="en-GB"/>
        </w:rPr>
      </w:pPr>
      <w:r>
        <w:rPr>
          <w:lang w:val="en-GB"/>
        </w:rPr>
        <w:t>T</w:t>
      </w:r>
      <w:r w:rsidRPr="00E14A65">
        <w:rPr>
          <w:lang w:val="en-GB"/>
        </w:rPr>
        <w:t xml:space="preserve">he risk management </w:t>
      </w:r>
      <w:r w:rsidR="005C1B8D">
        <w:rPr>
          <w:lang w:val="en-GB"/>
        </w:rPr>
        <w:t>required by</w:t>
      </w:r>
      <w:r w:rsidRPr="00E14A65">
        <w:rPr>
          <w:lang w:val="en-GB"/>
        </w:rPr>
        <w:t xml:space="preserve"> the IVDR (</w:t>
      </w:r>
      <w:r w:rsidR="005C1B8D">
        <w:rPr>
          <w:lang w:val="en-GB"/>
        </w:rPr>
        <w:t>see</w:t>
      </w:r>
      <w:r w:rsidRPr="00E14A65">
        <w:rPr>
          <w:lang w:val="en-GB"/>
        </w:rPr>
        <w:t xml:space="preserve"> Table 1 and Annex I, Chapter I, Section 3 of the IVDR) </w:t>
      </w:r>
      <w:r w:rsidR="005C1B8D">
        <w:rPr>
          <w:lang w:val="en-GB"/>
        </w:rPr>
        <w:t>is</w:t>
      </w:r>
      <w:r w:rsidRPr="00E14A65">
        <w:rPr>
          <w:lang w:val="en-GB"/>
        </w:rPr>
        <w:t xml:space="preserve"> </w:t>
      </w:r>
      <w:r>
        <w:rPr>
          <w:lang w:val="en-GB"/>
        </w:rPr>
        <w:t>addressed below</w:t>
      </w:r>
      <w:r w:rsidRPr="00E14A65">
        <w:rPr>
          <w:lang w:val="en-GB"/>
        </w:rPr>
        <w:t xml:space="preserve"> and, </w:t>
      </w:r>
      <w:r>
        <w:rPr>
          <w:lang w:val="en-GB"/>
        </w:rPr>
        <w:t>where</w:t>
      </w:r>
      <w:r w:rsidRPr="00E14A65">
        <w:rPr>
          <w:lang w:val="en-GB"/>
        </w:rPr>
        <w:t xml:space="preserve"> possible and </w:t>
      </w:r>
      <w:r>
        <w:rPr>
          <w:lang w:val="en-GB"/>
        </w:rPr>
        <w:t>appropriate</w:t>
      </w:r>
      <w:r w:rsidRPr="00E14A65">
        <w:rPr>
          <w:lang w:val="en-GB"/>
        </w:rPr>
        <w:t xml:space="preserve">, the procedure for </w:t>
      </w:r>
      <w:r w:rsidR="005C1B8D">
        <w:rPr>
          <w:lang w:val="en-GB"/>
        </w:rPr>
        <w:t>implementing them</w:t>
      </w:r>
      <w:r w:rsidRPr="00E14A65">
        <w:rPr>
          <w:lang w:val="en-GB"/>
        </w:rPr>
        <w:t xml:space="preserve"> in medical laboratories is described </w:t>
      </w:r>
      <w:r w:rsidR="00C41CF5">
        <w:rPr>
          <w:lang w:val="en-GB"/>
        </w:rPr>
        <w:t>with</w:t>
      </w:r>
      <w:r w:rsidRPr="00E14A65">
        <w:rPr>
          <w:lang w:val="en-GB"/>
        </w:rPr>
        <w:t xml:space="preserve">in the context of EN ISO 22367:2020 (see also </w:t>
      </w:r>
      <w:r w:rsidRPr="00E14A65">
        <w:rPr>
          <w:b/>
          <w:bCs/>
          <w:lang w:val="en-GB"/>
        </w:rPr>
        <w:t>Annex 1</w:t>
      </w:r>
      <w:r w:rsidRPr="00E14A65">
        <w:rPr>
          <w:lang w:val="en-GB"/>
        </w:rPr>
        <w:t xml:space="preserve"> of this document). </w:t>
      </w:r>
      <w:r>
        <w:rPr>
          <w:lang w:val="en-GB"/>
        </w:rPr>
        <w:t>S</w:t>
      </w:r>
      <w:r w:rsidRPr="00E14A65">
        <w:rPr>
          <w:lang w:val="en-GB"/>
        </w:rPr>
        <w:t xml:space="preserve">ection 4 of EN ISO 22367:2020 provides guidance </w:t>
      </w:r>
      <w:r w:rsidR="005C1B8D">
        <w:rPr>
          <w:lang w:val="en-GB"/>
        </w:rPr>
        <w:t>on</w:t>
      </w:r>
      <w:r w:rsidRPr="00E14A65">
        <w:rPr>
          <w:lang w:val="en-GB"/>
        </w:rPr>
        <w:t xml:space="preserve"> the overarching application of a risk management system. In addition, </w:t>
      </w:r>
      <w:r w:rsidRPr="00E14A65">
        <w:rPr>
          <w:b/>
          <w:bCs/>
          <w:lang w:val="en-GB"/>
        </w:rPr>
        <w:t>Annex 2</w:t>
      </w:r>
      <w:r w:rsidRPr="00E14A65">
        <w:rPr>
          <w:lang w:val="en-GB"/>
        </w:rPr>
        <w:t xml:space="preserve"> of this document </w:t>
      </w:r>
      <w:r>
        <w:rPr>
          <w:lang w:val="en-GB"/>
        </w:rPr>
        <w:t>illustrates</w:t>
      </w:r>
      <w:r w:rsidRPr="00E14A65">
        <w:rPr>
          <w:lang w:val="en-GB"/>
        </w:rPr>
        <w:t xml:space="preserve"> how risk management can be integrated into an (existing) risk management system.</w:t>
      </w:r>
      <w:r w:rsidR="00EB722F" w:rsidRPr="006C5B12">
        <w:rPr>
          <w:rFonts w:cstheme="minorHAnsi"/>
          <w:lang w:val="en-GB"/>
        </w:rPr>
        <w:t xml:space="preserve">  </w:t>
      </w:r>
    </w:p>
    <w:p w14:paraId="5489508E" w14:textId="1D2D6BD2" w:rsidR="00E73710" w:rsidRPr="006C5B12" w:rsidRDefault="00E73710" w:rsidP="00F4147C">
      <w:pPr>
        <w:pStyle w:val="berschrift2"/>
        <w:rPr>
          <w:lang w:val="en-GB"/>
        </w:rPr>
      </w:pPr>
      <w:bookmarkStart w:id="3" w:name="_Ref71886636"/>
      <w:r w:rsidRPr="006C5B12">
        <w:rPr>
          <w:lang w:val="en-GB"/>
        </w:rPr>
        <w:t>An</w:t>
      </w:r>
      <w:r w:rsidR="003F3E13">
        <w:rPr>
          <w:lang w:val="en-GB"/>
        </w:rPr>
        <w:t>nex</w:t>
      </w:r>
      <w:r w:rsidRPr="006C5B12">
        <w:rPr>
          <w:lang w:val="en-GB"/>
        </w:rPr>
        <w:t xml:space="preserve"> I, </w:t>
      </w:r>
      <w:r w:rsidR="003F3E13">
        <w:rPr>
          <w:lang w:val="en-GB"/>
        </w:rPr>
        <w:t>Chapter</w:t>
      </w:r>
      <w:r w:rsidRPr="006C5B12">
        <w:rPr>
          <w:lang w:val="en-GB"/>
        </w:rPr>
        <w:t xml:space="preserve"> I, </w:t>
      </w:r>
      <w:r w:rsidR="003F3E13">
        <w:rPr>
          <w:lang w:val="en-GB"/>
        </w:rPr>
        <w:t>Section</w:t>
      </w:r>
      <w:r w:rsidRPr="006C5B12">
        <w:rPr>
          <w:lang w:val="en-GB"/>
        </w:rPr>
        <w:t xml:space="preserve"> 3a: </w:t>
      </w:r>
      <w:r w:rsidR="0018338C">
        <w:rPr>
          <w:lang w:val="en-GB"/>
        </w:rPr>
        <w:t>R</w:t>
      </w:r>
      <w:r w:rsidRPr="006C5B12">
        <w:rPr>
          <w:lang w:val="en-GB"/>
        </w:rPr>
        <w:t>isk</w:t>
      </w:r>
      <w:r w:rsidR="003F3E13">
        <w:rPr>
          <w:lang w:val="en-GB"/>
        </w:rPr>
        <w:t xml:space="preserve"> </w:t>
      </w:r>
      <w:r w:rsidR="008F68D8">
        <w:rPr>
          <w:lang w:val="en-GB"/>
        </w:rPr>
        <w:t>m</w:t>
      </w:r>
      <w:r w:rsidRPr="006C5B12">
        <w:rPr>
          <w:lang w:val="en-GB"/>
        </w:rPr>
        <w:t>anagement</w:t>
      </w:r>
      <w:r w:rsidR="00C240E6">
        <w:rPr>
          <w:lang w:val="en-GB"/>
        </w:rPr>
        <w:t xml:space="preserve"> </w:t>
      </w:r>
      <w:r w:rsidR="008F68D8">
        <w:rPr>
          <w:lang w:val="en-GB"/>
        </w:rPr>
        <w:t>p</w:t>
      </w:r>
      <w:r w:rsidR="00C240E6">
        <w:rPr>
          <w:lang w:val="en-GB"/>
        </w:rPr>
        <w:t>lan</w:t>
      </w:r>
      <w:bookmarkEnd w:id="3"/>
      <w:r w:rsidRPr="006C5B12">
        <w:rPr>
          <w:lang w:val="en-GB"/>
        </w:rPr>
        <w:t xml:space="preserve"> </w:t>
      </w:r>
    </w:p>
    <w:p w14:paraId="4FA9A420" w14:textId="5A8A957D" w:rsidR="00F61476" w:rsidRPr="006C5B12" w:rsidRDefault="00C240E6" w:rsidP="00F61476">
      <w:pPr>
        <w:jc w:val="both"/>
        <w:rPr>
          <w:lang w:val="en-GB"/>
        </w:rPr>
      </w:pPr>
      <w:r w:rsidRPr="00C240E6">
        <w:rPr>
          <w:lang w:val="en-GB"/>
        </w:rPr>
        <w:t xml:space="preserve">According to this </w:t>
      </w:r>
      <w:r w:rsidR="00403689">
        <w:rPr>
          <w:lang w:val="en-GB"/>
        </w:rPr>
        <w:t>section</w:t>
      </w:r>
      <w:r w:rsidRPr="00C240E6">
        <w:rPr>
          <w:lang w:val="en-GB"/>
        </w:rPr>
        <w:t xml:space="preserve">, the laboratory must define and document a risk management plan </w:t>
      </w:r>
      <w:r w:rsidR="00403689">
        <w:rPr>
          <w:lang w:val="en-GB"/>
        </w:rPr>
        <w:t xml:space="preserve">as part of </w:t>
      </w:r>
      <w:r w:rsidRPr="00C240E6">
        <w:rPr>
          <w:lang w:val="en-GB"/>
        </w:rPr>
        <w:t xml:space="preserve">an overall risk management process for each in-house IVD or for generic </w:t>
      </w:r>
      <w:r>
        <w:rPr>
          <w:lang w:val="en-GB"/>
        </w:rPr>
        <w:t xml:space="preserve">device </w:t>
      </w:r>
      <w:r w:rsidRPr="00C240E6">
        <w:rPr>
          <w:lang w:val="en-GB"/>
        </w:rPr>
        <w:t>groups (</w:t>
      </w:r>
      <w:r w:rsidR="00C41CF5">
        <w:rPr>
          <w:lang w:val="en-GB"/>
        </w:rPr>
        <w:t>see</w:t>
      </w:r>
      <w:r w:rsidRPr="00C240E6">
        <w:rPr>
          <w:lang w:val="en-GB"/>
        </w:rPr>
        <w:t xml:space="preserve"> </w:t>
      </w:r>
      <w:r w:rsidR="00C41CF5" w:rsidRPr="00C240E6">
        <w:rPr>
          <w:lang w:val="en-GB"/>
        </w:rPr>
        <w:t xml:space="preserve">Article 2, </w:t>
      </w:r>
      <w:r w:rsidR="00C41CF5">
        <w:rPr>
          <w:lang w:val="en-GB"/>
        </w:rPr>
        <w:t>p</w:t>
      </w:r>
      <w:r w:rsidR="00C41CF5" w:rsidRPr="00C240E6">
        <w:rPr>
          <w:lang w:val="en-GB"/>
        </w:rPr>
        <w:t>oint 8</w:t>
      </w:r>
      <w:r w:rsidR="00C41CF5">
        <w:rPr>
          <w:lang w:val="en-GB"/>
        </w:rPr>
        <w:t xml:space="preserve"> of the </w:t>
      </w:r>
      <w:r w:rsidRPr="00C240E6">
        <w:rPr>
          <w:lang w:val="en-GB"/>
        </w:rPr>
        <w:t xml:space="preserve">IVDR). However, the IVDR does not provide any further information on the content and format of such a risk management plan. </w:t>
      </w:r>
      <w:r>
        <w:rPr>
          <w:lang w:val="en-GB"/>
        </w:rPr>
        <w:t>Therefore</w:t>
      </w:r>
      <w:r w:rsidRPr="00C240E6">
        <w:rPr>
          <w:lang w:val="en-GB"/>
        </w:rPr>
        <w:t>, medical laboratories c</w:t>
      </w:r>
      <w:r>
        <w:rPr>
          <w:lang w:val="en-GB"/>
        </w:rPr>
        <w:t>an</w:t>
      </w:r>
      <w:r w:rsidRPr="00C240E6">
        <w:rPr>
          <w:lang w:val="en-GB"/>
        </w:rPr>
        <w:t xml:space="preserve"> again refer to the </w:t>
      </w:r>
      <w:r w:rsidR="00E57ECA" w:rsidRPr="00C240E6">
        <w:rPr>
          <w:lang w:val="en-GB"/>
        </w:rPr>
        <w:t xml:space="preserve">EN ISO </w:t>
      </w:r>
      <w:r w:rsidRPr="00C240E6">
        <w:rPr>
          <w:lang w:val="en-GB"/>
        </w:rPr>
        <w:t xml:space="preserve">standard ISO 22367:2020 as it </w:t>
      </w:r>
      <w:r>
        <w:rPr>
          <w:lang w:val="en-GB"/>
        </w:rPr>
        <w:t>outlines</w:t>
      </w:r>
      <w:r w:rsidRPr="00C240E6">
        <w:rPr>
          <w:lang w:val="en-GB"/>
        </w:rPr>
        <w:t xml:space="preserve"> in </w:t>
      </w:r>
      <w:r>
        <w:rPr>
          <w:lang w:val="en-GB"/>
        </w:rPr>
        <w:t>S</w:t>
      </w:r>
      <w:r w:rsidRPr="00C240E6">
        <w:rPr>
          <w:lang w:val="en-GB"/>
        </w:rPr>
        <w:t>ection 4.4 the structure of a risk management plan within an (</w:t>
      </w:r>
      <w:r>
        <w:rPr>
          <w:lang w:val="en-GB"/>
        </w:rPr>
        <w:t>existing</w:t>
      </w:r>
      <w:r w:rsidRPr="00C240E6">
        <w:rPr>
          <w:lang w:val="en-GB"/>
        </w:rPr>
        <w:t>) risk management system.</w:t>
      </w:r>
      <w:r w:rsidR="006618DD" w:rsidRPr="006C5B12">
        <w:rPr>
          <w:lang w:val="en-GB"/>
        </w:rPr>
        <w:t xml:space="preserve"> </w:t>
      </w:r>
    </w:p>
    <w:p w14:paraId="678BACD3" w14:textId="05281A69" w:rsidR="00113DF0" w:rsidRPr="006C5B12" w:rsidRDefault="00113DF0" w:rsidP="00217179">
      <w:pPr>
        <w:jc w:val="both"/>
        <w:rPr>
          <w:u w:val="single"/>
          <w:lang w:val="en-GB"/>
        </w:rPr>
      </w:pPr>
      <w:r w:rsidRPr="006C5B12">
        <w:rPr>
          <w:u w:val="single"/>
          <w:lang w:val="en-GB"/>
        </w:rPr>
        <w:t>Risk</w:t>
      </w:r>
      <w:r w:rsidR="000035F8">
        <w:rPr>
          <w:u w:val="single"/>
          <w:lang w:val="en-GB"/>
        </w:rPr>
        <w:t xml:space="preserve"> </w:t>
      </w:r>
      <w:r w:rsidRPr="006C5B12">
        <w:rPr>
          <w:u w:val="single"/>
          <w:lang w:val="en-GB"/>
        </w:rPr>
        <w:t>analys</w:t>
      </w:r>
      <w:r w:rsidR="000035F8">
        <w:rPr>
          <w:u w:val="single"/>
          <w:lang w:val="en-GB"/>
        </w:rPr>
        <w:t>is and risk assessment</w:t>
      </w:r>
    </w:p>
    <w:p w14:paraId="1DCC4FF9" w14:textId="326FA2AD" w:rsidR="00EF1371" w:rsidRPr="006C5B12" w:rsidRDefault="000035F8" w:rsidP="00217179">
      <w:pPr>
        <w:jc w:val="both"/>
        <w:rPr>
          <w:lang w:val="en-GB"/>
        </w:rPr>
      </w:pPr>
      <w:r w:rsidRPr="000035F8">
        <w:rPr>
          <w:lang w:val="en-GB"/>
        </w:rPr>
        <w:t>The risk management plan also contains documentation</w:t>
      </w:r>
      <w:r w:rsidR="00403689" w:rsidRPr="00403689">
        <w:rPr>
          <w:lang w:val="en-GB"/>
        </w:rPr>
        <w:t xml:space="preserve"> </w:t>
      </w:r>
      <w:r w:rsidR="00403689">
        <w:rPr>
          <w:lang w:val="en-GB"/>
        </w:rPr>
        <w:t xml:space="preserve">for a </w:t>
      </w:r>
      <w:r w:rsidR="00403689" w:rsidRPr="000035F8">
        <w:rPr>
          <w:lang w:val="en-GB"/>
        </w:rPr>
        <w:t xml:space="preserve">risk analysis and </w:t>
      </w:r>
      <w:r w:rsidR="00403689">
        <w:rPr>
          <w:lang w:val="en-GB"/>
        </w:rPr>
        <w:t xml:space="preserve">risk </w:t>
      </w:r>
      <w:r w:rsidR="00403689" w:rsidRPr="000035F8">
        <w:rPr>
          <w:lang w:val="en-GB"/>
        </w:rPr>
        <w:t>assessment</w:t>
      </w:r>
      <w:r>
        <w:rPr>
          <w:lang w:val="en-GB"/>
        </w:rPr>
        <w:t>, which is</w:t>
      </w:r>
      <w:r w:rsidRPr="000035F8">
        <w:rPr>
          <w:lang w:val="en-GB"/>
        </w:rPr>
        <w:t xml:space="preserve"> to be carried out in accordance with the IVDR </w:t>
      </w:r>
      <w:r w:rsidR="00403689">
        <w:rPr>
          <w:lang w:val="en-GB"/>
        </w:rPr>
        <w:t>and is described below</w:t>
      </w:r>
      <w:r w:rsidR="00403689" w:rsidRPr="000035F8">
        <w:rPr>
          <w:lang w:val="en-GB"/>
        </w:rPr>
        <w:t xml:space="preserve"> </w:t>
      </w:r>
      <w:r w:rsidRPr="000035F8">
        <w:rPr>
          <w:lang w:val="en-GB"/>
        </w:rPr>
        <w:t>(</w:t>
      </w:r>
      <w:r w:rsidR="00403689">
        <w:rPr>
          <w:lang w:val="en-GB"/>
        </w:rPr>
        <w:t>see</w:t>
      </w:r>
      <w:r w:rsidRPr="000035F8">
        <w:rPr>
          <w:lang w:val="en-GB"/>
        </w:rPr>
        <w:t xml:space="preserve"> </w:t>
      </w:r>
      <w:r>
        <w:rPr>
          <w:lang w:val="en-GB"/>
        </w:rPr>
        <w:t>S</w:t>
      </w:r>
      <w:r w:rsidRPr="000035F8">
        <w:rPr>
          <w:lang w:val="en-GB"/>
        </w:rPr>
        <w:t xml:space="preserve">ection 4.4.5 of EN ISO 22367:2020). The IVDR itself does not </w:t>
      </w:r>
      <w:r>
        <w:rPr>
          <w:lang w:val="en-GB"/>
        </w:rPr>
        <w:t>specify</w:t>
      </w:r>
      <w:r w:rsidRPr="000035F8">
        <w:rPr>
          <w:lang w:val="en-GB"/>
        </w:rPr>
        <w:t xml:space="preserve"> which </w:t>
      </w:r>
      <w:r w:rsidR="0018338C" w:rsidRPr="000035F8">
        <w:rPr>
          <w:lang w:val="en-GB"/>
        </w:rPr>
        <w:t xml:space="preserve">risk analysis </w:t>
      </w:r>
      <w:r w:rsidRPr="000035F8">
        <w:rPr>
          <w:lang w:val="en-GB"/>
        </w:rPr>
        <w:t xml:space="preserve">method should be used but </w:t>
      </w:r>
      <w:r w:rsidR="0018338C">
        <w:rPr>
          <w:lang w:val="en-GB"/>
        </w:rPr>
        <w:t xml:space="preserve">does </w:t>
      </w:r>
      <w:r w:rsidRPr="000035F8">
        <w:rPr>
          <w:lang w:val="en-GB"/>
        </w:rPr>
        <w:t xml:space="preserve">list </w:t>
      </w:r>
      <w:r>
        <w:rPr>
          <w:lang w:val="en-GB"/>
        </w:rPr>
        <w:t xml:space="preserve">the </w:t>
      </w:r>
      <w:r w:rsidRPr="000035F8">
        <w:rPr>
          <w:lang w:val="en-GB"/>
        </w:rPr>
        <w:t xml:space="preserve">types of risks that need to be considered (see </w:t>
      </w:r>
      <w:r w:rsidRPr="00DB6EBF">
        <w:rPr>
          <w:b/>
          <w:bCs/>
          <w:lang w:val="en-GB"/>
        </w:rPr>
        <w:t>Annex 3</w:t>
      </w:r>
      <w:r w:rsidRPr="000035F8">
        <w:rPr>
          <w:lang w:val="en-GB"/>
        </w:rPr>
        <w:t xml:space="preserve"> of this document).</w:t>
      </w:r>
      <w:r>
        <w:rPr>
          <w:lang w:val="en-GB"/>
        </w:rPr>
        <w:t xml:space="preserve"> </w:t>
      </w:r>
    </w:p>
    <w:p w14:paraId="515B3865" w14:textId="0A79FCA6" w:rsidR="00217179" w:rsidRPr="006C5B12" w:rsidRDefault="00915F78" w:rsidP="00217179">
      <w:pPr>
        <w:jc w:val="both"/>
        <w:rPr>
          <w:lang w:val="en-GB"/>
        </w:rPr>
      </w:pPr>
      <w:r>
        <w:rPr>
          <w:lang w:val="en-GB"/>
        </w:rPr>
        <w:lastRenderedPageBreak/>
        <w:t>In terms of</w:t>
      </w:r>
      <w:r w:rsidR="00DB6EBF" w:rsidRPr="00DB6EBF">
        <w:rPr>
          <w:lang w:val="en-GB"/>
        </w:rPr>
        <w:t xml:space="preserve"> </w:t>
      </w:r>
      <w:r>
        <w:rPr>
          <w:lang w:val="en-GB"/>
        </w:rPr>
        <w:t>a general</w:t>
      </w:r>
      <w:r w:rsidR="00DB6EBF" w:rsidRPr="00DB6EBF">
        <w:rPr>
          <w:lang w:val="en-GB"/>
        </w:rPr>
        <w:t xml:space="preserve"> implementation of a risk analysis, reference can be made at this point to </w:t>
      </w:r>
      <w:r w:rsidR="00DB6EBF">
        <w:rPr>
          <w:lang w:val="en-GB"/>
        </w:rPr>
        <w:t>S</w:t>
      </w:r>
      <w:r w:rsidR="00DB6EBF" w:rsidRPr="00DB6EBF">
        <w:rPr>
          <w:lang w:val="en-GB"/>
        </w:rPr>
        <w:t xml:space="preserve">ection 5 of EN ISO 22367:2020. Section 5.1 </w:t>
      </w:r>
      <w:r>
        <w:rPr>
          <w:lang w:val="en-GB"/>
        </w:rPr>
        <w:t>deals with the design of</w:t>
      </w:r>
      <w:r w:rsidR="00DB6EBF" w:rsidRPr="00DB6EBF">
        <w:rPr>
          <w:lang w:val="en-GB"/>
        </w:rPr>
        <w:t xml:space="preserve"> the scope</w:t>
      </w:r>
      <w:r w:rsidR="00403689">
        <w:rPr>
          <w:lang w:val="en-GB"/>
        </w:rPr>
        <w:t xml:space="preserve">, </w:t>
      </w:r>
      <w:r w:rsidR="008A0AE4">
        <w:rPr>
          <w:lang w:val="en-GB"/>
        </w:rPr>
        <w:t xml:space="preserve">extent </w:t>
      </w:r>
      <w:r>
        <w:rPr>
          <w:lang w:val="en-GB"/>
        </w:rPr>
        <w:t>and</w:t>
      </w:r>
      <w:r w:rsidR="00DB6EBF" w:rsidRPr="00DB6EBF">
        <w:rPr>
          <w:lang w:val="en-GB"/>
        </w:rPr>
        <w:t xml:space="preserve"> </w:t>
      </w:r>
      <w:r w:rsidR="00C41CF5">
        <w:rPr>
          <w:lang w:val="en-GB"/>
        </w:rPr>
        <w:t>applicable</w:t>
      </w:r>
      <w:r w:rsidR="00403689">
        <w:rPr>
          <w:lang w:val="en-GB"/>
        </w:rPr>
        <w:t xml:space="preserve"> and </w:t>
      </w:r>
      <w:r>
        <w:rPr>
          <w:lang w:val="en-GB"/>
        </w:rPr>
        <w:t xml:space="preserve">pre-existing </w:t>
      </w:r>
      <w:r w:rsidR="00DB6EBF" w:rsidRPr="00DB6EBF">
        <w:rPr>
          <w:lang w:val="en-GB"/>
        </w:rPr>
        <w:t>information</w:t>
      </w:r>
      <w:r w:rsidR="003129AD">
        <w:rPr>
          <w:lang w:val="en-GB"/>
        </w:rPr>
        <w:t xml:space="preserve"> </w:t>
      </w:r>
      <w:r>
        <w:rPr>
          <w:lang w:val="en-GB"/>
        </w:rPr>
        <w:t>of</w:t>
      </w:r>
      <w:r w:rsidR="003129AD">
        <w:rPr>
          <w:lang w:val="en-GB"/>
        </w:rPr>
        <w:t xml:space="preserve"> a risk analysis</w:t>
      </w:r>
      <w:r w:rsidR="00DB6EBF" w:rsidRPr="00DB6EBF">
        <w:rPr>
          <w:lang w:val="en-GB"/>
        </w:rPr>
        <w:t xml:space="preserve">. </w:t>
      </w:r>
      <w:r w:rsidR="00DB6EBF">
        <w:rPr>
          <w:lang w:val="en-GB"/>
        </w:rPr>
        <w:t>T</w:t>
      </w:r>
      <w:r w:rsidR="00DB6EBF" w:rsidRPr="00DB6EBF">
        <w:rPr>
          <w:lang w:val="en-GB"/>
        </w:rPr>
        <w:t xml:space="preserve">ools and procedures for </w:t>
      </w:r>
      <w:r w:rsidR="003129AD">
        <w:rPr>
          <w:lang w:val="en-GB"/>
        </w:rPr>
        <w:t xml:space="preserve">a </w:t>
      </w:r>
      <w:r w:rsidR="00DB6EBF" w:rsidRPr="00DB6EBF">
        <w:rPr>
          <w:lang w:val="en-GB"/>
        </w:rPr>
        <w:t xml:space="preserve">risk analysis can also be found in Annexes G and H. </w:t>
      </w:r>
      <w:r w:rsidR="00691BF7">
        <w:rPr>
          <w:lang w:val="en-GB"/>
        </w:rPr>
        <w:t>I</w:t>
      </w:r>
      <w:r w:rsidR="00DB6EBF" w:rsidRPr="00DB6EBF">
        <w:rPr>
          <w:lang w:val="en-GB"/>
        </w:rPr>
        <w:t xml:space="preserve">nformation on the process and documentation of </w:t>
      </w:r>
      <w:r w:rsidR="003129AD">
        <w:rPr>
          <w:lang w:val="en-GB"/>
        </w:rPr>
        <w:t xml:space="preserve">a </w:t>
      </w:r>
      <w:r w:rsidR="00DB6EBF" w:rsidRPr="00DB6EBF">
        <w:rPr>
          <w:lang w:val="en-GB"/>
        </w:rPr>
        <w:t>risk analysis</w:t>
      </w:r>
      <w:r w:rsidR="00691BF7">
        <w:rPr>
          <w:lang w:val="en-GB"/>
        </w:rPr>
        <w:t xml:space="preserve"> is also provided i</w:t>
      </w:r>
      <w:r w:rsidR="00691BF7" w:rsidRPr="00DB6EBF">
        <w:rPr>
          <w:lang w:val="en-GB"/>
        </w:rPr>
        <w:t xml:space="preserve">n </w:t>
      </w:r>
      <w:r w:rsidR="00691BF7">
        <w:rPr>
          <w:lang w:val="en-GB"/>
        </w:rPr>
        <w:t>S</w:t>
      </w:r>
      <w:r w:rsidR="00691BF7" w:rsidRPr="00DB6EBF">
        <w:rPr>
          <w:lang w:val="en-GB"/>
        </w:rPr>
        <w:t xml:space="preserve">ection 5.2 ff </w:t>
      </w:r>
      <w:r w:rsidR="00691BF7">
        <w:rPr>
          <w:lang w:val="en-GB"/>
        </w:rPr>
        <w:t xml:space="preserve">of </w:t>
      </w:r>
      <w:r w:rsidR="00691BF7" w:rsidRPr="00DB6EBF">
        <w:rPr>
          <w:lang w:val="en-GB"/>
        </w:rPr>
        <w:t>EN ISO 22367:2020</w:t>
      </w:r>
      <w:r w:rsidR="00691BF7">
        <w:rPr>
          <w:lang w:val="en-GB"/>
        </w:rPr>
        <w:t>.</w:t>
      </w:r>
    </w:p>
    <w:p w14:paraId="505EBCCD" w14:textId="637CFFCC" w:rsidR="00A02D45" w:rsidRPr="006C5B12" w:rsidRDefault="00A013F1" w:rsidP="00217179">
      <w:pPr>
        <w:jc w:val="both"/>
        <w:rPr>
          <w:lang w:val="en-GB"/>
        </w:rPr>
      </w:pPr>
      <w:r w:rsidRPr="00A013F1">
        <w:rPr>
          <w:lang w:val="en-GB"/>
        </w:rPr>
        <w:t xml:space="preserve">The risk assessment process is described in </w:t>
      </w:r>
      <w:r>
        <w:rPr>
          <w:lang w:val="en-GB"/>
        </w:rPr>
        <w:t>S</w:t>
      </w:r>
      <w:r w:rsidRPr="00A013F1">
        <w:rPr>
          <w:lang w:val="en-GB"/>
        </w:rPr>
        <w:t xml:space="preserve">ection 6 of EN ISO 22367:2020. Section 6.1 deals with the </w:t>
      </w:r>
      <w:r>
        <w:rPr>
          <w:lang w:val="en-GB"/>
        </w:rPr>
        <w:t xml:space="preserve">acceptability </w:t>
      </w:r>
      <w:r w:rsidRPr="00A013F1">
        <w:rPr>
          <w:lang w:val="en-GB"/>
        </w:rPr>
        <w:t xml:space="preserve">criteria for </w:t>
      </w:r>
      <w:r>
        <w:rPr>
          <w:lang w:val="en-GB"/>
        </w:rPr>
        <w:t>individual risks</w:t>
      </w:r>
      <w:r w:rsidRPr="00A013F1">
        <w:rPr>
          <w:lang w:val="en-GB"/>
        </w:rPr>
        <w:t xml:space="preserve"> and the overall residual risk, which must be defined, approved and documented by the laboratory </w:t>
      </w:r>
      <w:r w:rsidR="003129AD">
        <w:rPr>
          <w:lang w:val="en-GB"/>
        </w:rPr>
        <w:t>as part of</w:t>
      </w:r>
      <w:r w:rsidRPr="00A013F1">
        <w:rPr>
          <w:lang w:val="en-GB"/>
        </w:rPr>
        <w:t xml:space="preserve"> </w:t>
      </w:r>
      <w:r>
        <w:rPr>
          <w:lang w:val="en-GB"/>
        </w:rPr>
        <w:t>its</w:t>
      </w:r>
      <w:r w:rsidRPr="00A013F1">
        <w:rPr>
          <w:lang w:val="en-GB"/>
        </w:rPr>
        <w:t xml:space="preserve"> risk management plan. The acceptability criteria for individual risks can be documented in a matrix, for example in a </w:t>
      </w:r>
      <w:r w:rsidR="00387098">
        <w:rPr>
          <w:lang w:val="en-GB"/>
        </w:rPr>
        <w:t>f</w:t>
      </w:r>
      <w:r w:rsidRPr="00A013F1">
        <w:rPr>
          <w:lang w:val="en-GB"/>
        </w:rPr>
        <w:t xml:space="preserve">ailure </w:t>
      </w:r>
      <w:r w:rsidR="00387098">
        <w:rPr>
          <w:lang w:val="en-GB"/>
        </w:rPr>
        <w:t>m</w:t>
      </w:r>
      <w:r w:rsidRPr="00A013F1">
        <w:rPr>
          <w:lang w:val="en-GB"/>
        </w:rPr>
        <w:t xml:space="preserve">ode and </w:t>
      </w:r>
      <w:r w:rsidR="00387098">
        <w:rPr>
          <w:lang w:val="en-GB"/>
        </w:rPr>
        <w:t>e</w:t>
      </w:r>
      <w:r w:rsidRPr="00A013F1">
        <w:rPr>
          <w:lang w:val="en-GB"/>
        </w:rPr>
        <w:t xml:space="preserve">ffects </w:t>
      </w:r>
      <w:r w:rsidR="00387098">
        <w:rPr>
          <w:lang w:val="en-GB"/>
        </w:rPr>
        <w:t>a</w:t>
      </w:r>
      <w:r w:rsidRPr="00A013F1">
        <w:rPr>
          <w:lang w:val="en-GB"/>
        </w:rPr>
        <w:t xml:space="preserve">nalysis (FMEA), to indicate the combinations of probability of occurrence, probability of detection and severity of damage. </w:t>
      </w:r>
      <w:r w:rsidR="00387098" w:rsidRPr="00387098">
        <w:rPr>
          <w:lang w:val="en-GB"/>
        </w:rPr>
        <w:t xml:space="preserve">Corresponding guidelines and examples can be found in Annex B.5 and Annex C as well as Annex I of EN ISO 22367:2020. </w:t>
      </w:r>
      <w:r w:rsidR="00387098">
        <w:rPr>
          <w:lang w:val="en-GB"/>
        </w:rPr>
        <w:t>As part of the</w:t>
      </w:r>
      <w:r w:rsidR="00387098" w:rsidRPr="00387098">
        <w:rPr>
          <w:lang w:val="en-GB"/>
        </w:rPr>
        <w:t xml:space="preserve"> risk assessment process, the collected data </w:t>
      </w:r>
      <w:r w:rsidR="00943767">
        <w:rPr>
          <w:lang w:val="en-GB"/>
        </w:rPr>
        <w:t xml:space="preserve">shall </w:t>
      </w:r>
      <w:r w:rsidR="00387098">
        <w:rPr>
          <w:lang w:val="en-GB"/>
        </w:rPr>
        <w:t xml:space="preserve">determine </w:t>
      </w:r>
      <w:r w:rsidR="00387098" w:rsidRPr="00387098">
        <w:rPr>
          <w:lang w:val="en-GB"/>
        </w:rPr>
        <w:t xml:space="preserve">whether risk </w:t>
      </w:r>
      <w:r w:rsidR="008235A3">
        <w:rPr>
          <w:lang w:val="en-GB"/>
        </w:rPr>
        <w:t>reduction</w:t>
      </w:r>
      <w:r w:rsidR="00387098">
        <w:rPr>
          <w:lang w:val="en-GB"/>
        </w:rPr>
        <w:t xml:space="preserve"> measures are</w:t>
      </w:r>
      <w:r w:rsidR="00387098" w:rsidRPr="00387098">
        <w:rPr>
          <w:lang w:val="en-GB"/>
        </w:rPr>
        <w:t xml:space="preserve"> necessary (</w:t>
      </w:r>
      <w:r w:rsidR="00915F78">
        <w:rPr>
          <w:lang w:val="en-GB"/>
        </w:rPr>
        <w:t>see</w:t>
      </w:r>
      <w:r w:rsidR="00387098" w:rsidRPr="00387098">
        <w:rPr>
          <w:lang w:val="en-GB"/>
        </w:rPr>
        <w:t xml:space="preserve"> </w:t>
      </w:r>
      <w:r w:rsidR="00387098">
        <w:rPr>
          <w:lang w:val="en-GB"/>
        </w:rPr>
        <w:t>S</w:t>
      </w:r>
      <w:r w:rsidR="00387098" w:rsidRPr="00387098">
        <w:rPr>
          <w:lang w:val="en-GB"/>
        </w:rPr>
        <w:t>ection 6.2 of EN ISO 22367:2020).</w:t>
      </w:r>
      <w:r w:rsidR="00943767">
        <w:rPr>
          <w:lang w:val="en-GB"/>
        </w:rPr>
        <w:t xml:space="preserve"> </w:t>
      </w:r>
    </w:p>
    <w:p w14:paraId="655DFDFD" w14:textId="4F2C503A" w:rsidR="00943767" w:rsidRPr="00943767" w:rsidRDefault="0069542B" w:rsidP="00943767">
      <w:pPr>
        <w:jc w:val="both"/>
        <w:rPr>
          <w:lang w:val="en-GB"/>
        </w:rPr>
      </w:pPr>
      <w:r>
        <w:rPr>
          <w:lang w:val="en-GB"/>
        </w:rPr>
        <w:t>The</w:t>
      </w:r>
      <w:r w:rsidR="00943767" w:rsidRPr="00943767">
        <w:rPr>
          <w:lang w:val="en-GB"/>
        </w:rPr>
        <w:t xml:space="preserve"> IVDR</w:t>
      </w:r>
      <w:r>
        <w:rPr>
          <w:lang w:val="en-GB"/>
        </w:rPr>
        <w:t xml:space="preserve"> stipulates that</w:t>
      </w:r>
      <w:r w:rsidR="00943767">
        <w:rPr>
          <w:lang w:val="en-GB"/>
        </w:rPr>
        <w:t xml:space="preserve"> as many </w:t>
      </w:r>
      <w:r w:rsidR="00943767" w:rsidRPr="00943767">
        <w:rPr>
          <w:lang w:val="en-GB"/>
        </w:rPr>
        <w:t xml:space="preserve">risks </w:t>
      </w:r>
      <w:r w:rsidR="00943767">
        <w:rPr>
          <w:lang w:val="en-GB"/>
        </w:rPr>
        <w:t xml:space="preserve">as possible </w:t>
      </w:r>
      <w:r w:rsidR="00943767" w:rsidRPr="00943767">
        <w:rPr>
          <w:lang w:val="en-GB"/>
        </w:rPr>
        <w:t xml:space="preserve">should be </w:t>
      </w:r>
      <w:r w:rsidR="00943767">
        <w:rPr>
          <w:lang w:val="en-GB"/>
        </w:rPr>
        <w:t>eliminated</w:t>
      </w:r>
      <w:r w:rsidR="00943767" w:rsidRPr="00943767">
        <w:rPr>
          <w:lang w:val="en-GB"/>
        </w:rPr>
        <w:t xml:space="preserve"> </w:t>
      </w:r>
      <w:r w:rsidR="00943767">
        <w:rPr>
          <w:lang w:val="en-GB"/>
        </w:rPr>
        <w:t xml:space="preserve">before </w:t>
      </w:r>
      <w:r w:rsidR="008235A3">
        <w:rPr>
          <w:lang w:val="en-GB"/>
        </w:rPr>
        <w:t>a</w:t>
      </w:r>
      <w:r w:rsidR="00943767" w:rsidRPr="00943767">
        <w:rPr>
          <w:lang w:val="en-GB"/>
        </w:rPr>
        <w:t xml:space="preserve"> risk assessment </w:t>
      </w:r>
      <w:r w:rsidR="00691BF7">
        <w:rPr>
          <w:lang w:val="en-GB"/>
        </w:rPr>
        <w:t xml:space="preserve">is conducted </w:t>
      </w:r>
      <w:r w:rsidR="00943767" w:rsidRPr="00943767">
        <w:rPr>
          <w:lang w:val="en-GB"/>
        </w:rPr>
        <w:t>(</w:t>
      </w:r>
      <w:r w:rsidR="00691BF7">
        <w:rPr>
          <w:lang w:val="en-GB"/>
        </w:rPr>
        <w:t>see</w:t>
      </w:r>
      <w:r w:rsidR="00943767" w:rsidRPr="00943767">
        <w:rPr>
          <w:lang w:val="en-GB"/>
        </w:rPr>
        <w:t xml:space="preserve"> </w:t>
      </w:r>
      <w:r w:rsidR="00943767">
        <w:rPr>
          <w:lang w:val="en-GB"/>
        </w:rPr>
        <w:t>Chapter</w:t>
      </w:r>
      <w:r w:rsidR="00943767" w:rsidRPr="006C5B12">
        <w:rPr>
          <w:lang w:val="en-GB"/>
        </w:rPr>
        <w:t xml:space="preserve"> </w:t>
      </w:r>
      <w:r w:rsidR="00943767" w:rsidRPr="006C5B12">
        <w:rPr>
          <w:lang w:val="en-GB"/>
        </w:rPr>
        <w:fldChar w:fldCharType="begin"/>
      </w:r>
      <w:r w:rsidR="00943767" w:rsidRPr="006C5B12">
        <w:rPr>
          <w:lang w:val="en-GB"/>
        </w:rPr>
        <w:instrText xml:space="preserve"> REF _Ref71886655 \r \h </w:instrText>
      </w:r>
      <w:r w:rsidR="00943767" w:rsidRPr="006C5B12">
        <w:rPr>
          <w:lang w:val="en-GB"/>
        </w:rPr>
      </w:r>
      <w:r w:rsidR="00943767" w:rsidRPr="006C5B12">
        <w:rPr>
          <w:lang w:val="en-GB"/>
        </w:rPr>
        <w:fldChar w:fldCharType="separate"/>
      </w:r>
      <w:r w:rsidR="00943767" w:rsidRPr="006C5B12">
        <w:rPr>
          <w:lang w:val="en-GB"/>
        </w:rPr>
        <w:t>2.4</w:t>
      </w:r>
      <w:r w:rsidR="00943767" w:rsidRPr="006C5B12">
        <w:rPr>
          <w:lang w:val="en-GB"/>
        </w:rPr>
        <w:fldChar w:fldCharType="end"/>
      </w:r>
      <w:r w:rsidR="00943767" w:rsidRPr="00943767">
        <w:rPr>
          <w:lang w:val="en-GB"/>
        </w:rPr>
        <w:t xml:space="preserve"> of this document -&gt; Annex I, </w:t>
      </w:r>
      <w:r w:rsidR="00943767">
        <w:rPr>
          <w:lang w:val="en-GB"/>
        </w:rPr>
        <w:t>C</w:t>
      </w:r>
      <w:r w:rsidR="00943767" w:rsidRPr="00943767">
        <w:rPr>
          <w:lang w:val="en-GB"/>
        </w:rPr>
        <w:t xml:space="preserve">hapter I, </w:t>
      </w:r>
      <w:r w:rsidR="00943767">
        <w:rPr>
          <w:lang w:val="en-GB"/>
        </w:rPr>
        <w:t>S</w:t>
      </w:r>
      <w:r w:rsidR="00943767" w:rsidRPr="00943767">
        <w:rPr>
          <w:lang w:val="en-GB"/>
        </w:rPr>
        <w:t xml:space="preserve">ection 3d or </w:t>
      </w:r>
      <w:r w:rsidR="00943767">
        <w:rPr>
          <w:lang w:val="en-GB"/>
        </w:rPr>
        <w:t>S</w:t>
      </w:r>
      <w:r w:rsidR="00943767" w:rsidRPr="00943767">
        <w:rPr>
          <w:lang w:val="en-GB"/>
        </w:rPr>
        <w:t>ection 4</w:t>
      </w:r>
      <w:r>
        <w:rPr>
          <w:lang w:val="en-GB"/>
        </w:rPr>
        <w:t xml:space="preserve"> of the</w:t>
      </w:r>
      <w:r w:rsidRPr="0069542B">
        <w:rPr>
          <w:lang w:val="en-GB"/>
        </w:rPr>
        <w:t xml:space="preserve"> </w:t>
      </w:r>
      <w:r w:rsidRPr="00943767">
        <w:rPr>
          <w:lang w:val="en-GB"/>
        </w:rPr>
        <w:t>IVDR</w:t>
      </w:r>
      <w:r w:rsidR="00943767" w:rsidRPr="00943767">
        <w:rPr>
          <w:lang w:val="en-GB"/>
        </w:rPr>
        <w:t xml:space="preserve">). </w:t>
      </w:r>
      <w:r w:rsidR="00691BF7">
        <w:rPr>
          <w:lang w:val="en-GB"/>
        </w:rPr>
        <w:t>R</w:t>
      </w:r>
      <w:r w:rsidR="00943767" w:rsidRPr="00943767">
        <w:rPr>
          <w:lang w:val="en-GB"/>
        </w:rPr>
        <w:t>isks should</w:t>
      </w:r>
      <w:r w:rsidR="00691BF7">
        <w:rPr>
          <w:lang w:val="en-GB"/>
        </w:rPr>
        <w:t xml:space="preserve">, on the whole, </w:t>
      </w:r>
      <w:r w:rsidR="00943767" w:rsidRPr="00943767">
        <w:rPr>
          <w:lang w:val="en-GB"/>
        </w:rPr>
        <w:t xml:space="preserve">be </w:t>
      </w:r>
      <w:r w:rsidR="00943767">
        <w:rPr>
          <w:lang w:val="en-GB"/>
        </w:rPr>
        <w:t xml:space="preserve">minimised </w:t>
      </w:r>
      <w:r>
        <w:rPr>
          <w:lang w:val="en-GB"/>
        </w:rPr>
        <w:t>as far as</w:t>
      </w:r>
      <w:r w:rsidR="00691BF7">
        <w:rPr>
          <w:lang w:val="en-GB"/>
        </w:rPr>
        <w:t xml:space="preserve"> possible</w:t>
      </w:r>
      <w:r w:rsidR="00943767" w:rsidRPr="00943767">
        <w:rPr>
          <w:lang w:val="en-GB"/>
        </w:rPr>
        <w:t xml:space="preserve"> without this process </w:t>
      </w:r>
      <w:r w:rsidR="00943767">
        <w:rPr>
          <w:lang w:val="en-GB"/>
        </w:rPr>
        <w:t>negatively impacting</w:t>
      </w:r>
      <w:r w:rsidR="00943767" w:rsidRPr="00943767">
        <w:rPr>
          <w:lang w:val="en-GB"/>
        </w:rPr>
        <w:t xml:space="preserve"> the risk-benefit ratio (</w:t>
      </w:r>
      <w:r>
        <w:rPr>
          <w:lang w:val="en-GB"/>
        </w:rPr>
        <w:t xml:space="preserve">see </w:t>
      </w:r>
      <w:r w:rsidR="00943767" w:rsidRPr="00943767">
        <w:rPr>
          <w:lang w:val="en-GB"/>
        </w:rPr>
        <w:t>Tab. 3 or Annex I, Chapter I, Section 2</w:t>
      </w:r>
      <w:r>
        <w:rPr>
          <w:lang w:val="en-GB"/>
        </w:rPr>
        <w:t xml:space="preserve"> of the</w:t>
      </w:r>
      <w:r w:rsidRPr="0069542B">
        <w:rPr>
          <w:lang w:val="en-GB"/>
        </w:rPr>
        <w:t xml:space="preserve"> </w:t>
      </w:r>
      <w:r w:rsidRPr="00943767">
        <w:rPr>
          <w:lang w:val="en-GB"/>
        </w:rPr>
        <w:t>IVDR</w:t>
      </w:r>
      <w:r w:rsidR="00943767" w:rsidRPr="00943767">
        <w:rPr>
          <w:lang w:val="en-GB"/>
        </w:rPr>
        <w:t xml:space="preserve">). </w:t>
      </w:r>
    </w:p>
    <w:p w14:paraId="54453A3E" w14:textId="71A463E7" w:rsidR="00217179" w:rsidRPr="006C5B12" w:rsidRDefault="00217179" w:rsidP="00217179">
      <w:pPr>
        <w:pStyle w:val="Beschriftung"/>
        <w:rPr>
          <w:lang w:val="en-GB"/>
        </w:rPr>
      </w:pPr>
      <w:r w:rsidRPr="006C5B12">
        <w:rPr>
          <w:lang w:val="en-GB"/>
        </w:rPr>
        <w:t xml:space="preserve">Table </w:t>
      </w:r>
      <w:r w:rsidR="00B72C7F" w:rsidRPr="006C5B12">
        <w:rPr>
          <w:lang w:val="en-GB"/>
        </w:rPr>
        <w:fldChar w:fldCharType="begin"/>
      </w:r>
      <w:r w:rsidR="00B72C7F" w:rsidRPr="006C5B12">
        <w:rPr>
          <w:lang w:val="en-GB"/>
        </w:rPr>
        <w:instrText xml:space="preserve"> SEQ Tabelle \* ARABIC </w:instrText>
      </w:r>
      <w:r w:rsidR="00B72C7F" w:rsidRPr="006C5B12">
        <w:rPr>
          <w:lang w:val="en-GB"/>
        </w:rPr>
        <w:fldChar w:fldCharType="separate"/>
      </w:r>
      <w:r w:rsidRPr="006C5B12">
        <w:rPr>
          <w:noProof/>
          <w:lang w:val="en-GB"/>
        </w:rPr>
        <w:t>3</w:t>
      </w:r>
      <w:r w:rsidR="00B72C7F" w:rsidRPr="006C5B12">
        <w:rPr>
          <w:noProof/>
          <w:lang w:val="en-GB"/>
        </w:rPr>
        <w:fldChar w:fldCharType="end"/>
      </w:r>
      <w:r w:rsidRPr="006C5B12">
        <w:rPr>
          <w:lang w:val="en-GB"/>
        </w:rPr>
        <w:t xml:space="preserve"> IVDR - A</w:t>
      </w:r>
      <w:r w:rsidR="00943767">
        <w:rPr>
          <w:lang w:val="en-GB"/>
        </w:rPr>
        <w:t>nnex</w:t>
      </w:r>
      <w:r w:rsidRPr="006C5B12">
        <w:rPr>
          <w:lang w:val="en-GB"/>
        </w:rPr>
        <w:t xml:space="preserve"> I, </w:t>
      </w:r>
      <w:r w:rsidR="00943767">
        <w:rPr>
          <w:lang w:val="en-GB"/>
        </w:rPr>
        <w:t>Chapter</w:t>
      </w:r>
      <w:r w:rsidRPr="006C5B12">
        <w:rPr>
          <w:lang w:val="en-GB"/>
        </w:rPr>
        <w:t xml:space="preserve"> I, </w:t>
      </w:r>
      <w:r w:rsidR="00943767">
        <w:rPr>
          <w:lang w:val="en-GB"/>
        </w:rPr>
        <w:t>Section</w:t>
      </w:r>
      <w:r w:rsidRPr="006C5B12">
        <w:rPr>
          <w:lang w:val="en-GB"/>
        </w:rPr>
        <w:t xml:space="preserve"> 2</w:t>
      </w:r>
    </w:p>
    <w:tbl>
      <w:tblPr>
        <w:tblW w:w="9062" w:type="dxa"/>
        <w:tblLook w:val="04A0" w:firstRow="1" w:lastRow="0" w:firstColumn="1" w:lastColumn="0" w:noHBand="0" w:noVBand="1"/>
      </w:tblPr>
      <w:tblGrid>
        <w:gridCol w:w="1271"/>
        <w:gridCol w:w="7791"/>
      </w:tblGrid>
      <w:tr w:rsidR="00217179" w:rsidRPr="006C5B12" w14:paraId="46710D8E" w14:textId="77777777" w:rsidTr="00CC65EB">
        <w:trPr>
          <w:trHeight w:val="318"/>
        </w:trPr>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ED82E31" w14:textId="77777777" w:rsidR="00217179" w:rsidRPr="006C5B12" w:rsidRDefault="00217179" w:rsidP="00CC65EB">
            <w:pPr>
              <w:pStyle w:val="Default"/>
              <w:spacing w:after="60"/>
              <w:jc w:val="both"/>
              <w:rPr>
                <w:rFonts w:asciiTheme="minorHAnsi" w:hAnsiTheme="minorHAnsi" w:cstheme="minorBidi"/>
                <w:b/>
                <w:bCs/>
                <w:i/>
                <w:color w:val="auto"/>
                <w:sz w:val="20"/>
                <w:szCs w:val="20"/>
              </w:rPr>
            </w:pPr>
            <w:r w:rsidRPr="006C5B12">
              <w:rPr>
                <w:rFonts w:asciiTheme="minorHAnsi" w:hAnsiTheme="minorHAnsi" w:cstheme="minorBidi"/>
                <w:b/>
                <w:bCs/>
                <w:i/>
                <w:color w:val="auto"/>
                <w:sz w:val="20"/>
                <w:szCs w:val="20"/>
              </w:rPr>
              <w:t>IVDR</w:t>
            </w:r>
          </w:p>
        </w:tc>
      </w:tr>
      <w:tr w:rsidR="00217179" w:rsidRPr="006C5B12" w14:paraId="536A6894" w14:textId="77777777" w:rsidTr="00CC65EB">
        <w:trPr>
          <w:trHeight w:val="280"/>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tcPr>
          <w:p w14:paraId="7A21CEE2" w14:textId="4644C713" w:rsidR="00217179" w:rsidRPr="006C5B12" w:rsidRDefault="00943767" w:rsidP="00CC65EB">
            <w:pPr>
              <w:pStyle w:val="Default"/>
              <w:spacing w:after="60"/>
              <w:jc w:val="both"/>
              <w:rPr>
                <w:rFonts w:asciiTheme="minorHAnsi" w:hAnsiTheme="minorHAnsi" w:cstheme="minorBidi"/>
                <w:i/>
                <w:color w:val="auto"/>
                <w:sz w:val="20"/>
                <w:szCs w:val="20"/>
              </w:rPr>
            </w:pPr>
            <w:r>
              <w:rPr>
                <w:rFonts w:asciiTheme="minorHAnsi" w:hAnsiTheme="minorHAnsi" w:cstheme="minorBidi"/>
                <w:i/>
                <w:color w:val="auto"/>
                <w:sz w:val="20"/>
                <w:szCs w:val="20"/>
              </w:rPr>
              <w:t>Annex</w:t>
            </w:r>
            <w:r w:rsidR="00217179" w:rsidRPr="006C5B12">
              <w:rPr>
                <w:rFonts w:asciiTheme="minorHAnsi" w:hAnsiTheme="minorHAnsi" w:cstheme="minorBidi"/>
                <w:i/>
                <w:color w:val="auto"/>
                <w:sz w:val="20"/>
                <w:szCs w:val="20"/>
              </w:rPr>
              <w:t xml:space="preserve"> I </w:t>
            </w:r>
          </w:p>
          <w:p w14:paraId="7E0AAD2F" w14:textId="2B9E220A" w:rsidR="00217179" w:rsidRPr="006C5B12" w:rsidRDefault="00943767" w:rsidP="00CC65EB">
            <w:pPr>
              <w:pStyle w:val="Default"/>
              <w:spacing w:after="60"/>
              <w:jc w:val="both"/>
              <w:rPr>
                <w:rFonts w:asciiTheme="minorHAnsi" w:hAnsiTheme="minorHAnsi" w:cstheme="minorBidi"/>
                <w:i/>
                <w:color w:val="auto"/>
                <w:sz w:val="20"/>
                <w:szCs w:val="20"/>
              </w:rPr>
            </w:pPr>
            <w:r>
              <w:rPr>
                <w:rFonts w:asciiTheme="minorHAnsi" w:hAnsiTheme="minorHAnsi" w:cstheme="minorBidi"/>
                <w:i/>
                <w:color w:val="auto"/>
                <w:sz w:val="20"/>
                <w:szCs w:val="20"/>
              </w:rPr>
              <w:t>Chapter</w:t>
            </w:r>
            <w:r w:rsidR="00217179" w:rsidRPr="006C5B12">
              <w:rPr>
                <w:rFonts w:asciiTheme="minorHAnsi" w:hAnsiTheme="minorHAnsi" w:cstheme="minorBidi"/>
                <w:i/>
                <w:color w:val="auto"/>
                <w:sz w:val="20"/>
                <w:szCs w:val="20"/>
              </w:rPr>
              <w:t xml:space="preserve"> I</w:t>
            </w:r>
          </w:p>
        </w:tc>
        <w:tc>
          <w:tcPr>
            <w:tcW w:w="7791" w:type="dxa"/>
            <w:tcBorders>
              <w:top w:val="single" w:sz="4" w:space="0" w:color="auto"/>
              <w:left w:val="single" w:sz="4" w:space="0" w:color="auto"/>
              <w:bottom w:val="single" w:sz="4" w:space="0" w:color="auto"/>
              <w:right w:val="single" w:sz="4" w:space="0" w:color="auto"/>
            </w:tcBorders>
            <w:shd w:val="clear" w:color="auto" w:fill="E7E6E6" w:themeFill="background2"/>
          </w:tcPr>
          <w:p w14:paraId="7AA2D24A" w14:textId="77777777" w:rsidR="00217179" w:rsidRPr="006C5B12" w:rsidRDefault="00217179" w:rsidP="00CC65EB">
            <w:pPr>
              <w:pStyle w:val="Default"/>
              <w:spacing w:after="60"/>
              <w:jc w:val="both"/>
              <w:rPr>
                <w:rFonts w:asciiTheme="minorHAnsi" w:hAnsiTheme="minorHAnsi" w:cstheme="minorBidi"/>
                <w:i/>
                <w:color w:val="auto"/>
                <w:sz w:val="20"/>
                <w:szCs w:val="20"/>
              </w:rPr>
            </w:pPr>
          </w:p>
        </w:tc>
      </w:tr>
      <w:tr w:rsidR="00217179" w:rsidRPr="00D02B35" w14:paraId="58520F32" w14:textId="77777777" w:rsidTr="00E279D9">
        <w:trPr>
          <w:trHeight w:val="581"/>
        </w:trPr>
        <w:tc>
          <w:tcPr>
            <w:tcW w:w="1271" w:type="dxa"/>
            <w:tcBorders>
              <w:top w:val="single" w:sz="4" w:space="0" w:color="auto"/>
              <w:left w:val="single" w:sz="4" w:space="0" w:color="auto"/>
              <w:bottom w:val="single" w:sz="4" w:space="0" w:color="auto"/>
              <w:right w:val="single" w:sz="4" w:space="0" w:color="auto"/>
            </w:tcBorders>
          </w:tcPr>
          <w:p w14:paraId="343ACDCF" w14:textId="5E36D94B" w:rsidR="00217179" w:rsidRPr="006C5B12" w:rsidRDefault="00907CE4" w:rsidP="00CC65EB">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217179" w:rsidRPr="006C5B12">
              <w:rPr>
                <w:rFonts w:asciiTheme="minorHAnsi" w:hAnsiTheme="minorHAnsi" w:cstheme="minorBidi"/>
                <w:i/>
                <w:color w:val="auto"/>
                <w:sz w:val="20"/>
                <w:szCs w:val="20"/>
              </w:rPr>
              <w:t xml:space="preserve"> 2</w:t>
            </w:r>
          </w:p>
        </w:tc>
        <w:tc>
          <w:tcPr>
            <w:tcW w:w="7791" w:type="dxa"/>
            <w:tcBorders>
              <w:top w:val="single" w:sz="4" w:space="0" w:color="auto"/>
              <w:left w:val="single" w:sz="4" w:space="0" w:color="auto"/>
              <w:bottom w:val="single" w:sz="4" w:space="0" w:color="auto"/>
              <w:right w:val="single" w:sz="4" w:space="0" w:color="auto"/>
            </w:tcBorders>
            <w:shd w:val="clear" w:color="auto" w:fill="auto"/>
          </w:tcPr>
          <w:p w14:paraId="4EF64215" w14:textId="56967A06" w:rsidR="00217179" w:rsidRPr="006C5B12" w:rsidRDefault="0069542B" w:rsidP="00E279D9">
            <w:pPr>
              <w:pStyle w:val="Default"/>
              <w:jc w:val="both"/>
              <w:rPr>
                <w:rFonts w:asciiTheme="minorHAnsi" w:hAnsiTheme="minorHAnsi" w:cstheme="minorBidi"/>
                <w:i/>
                <w:color w:val="auto"/>
                <w:sz w:val="20"/>
                <w:szCs w:val="20"/>
              </w:rPr>
            </w:pPr>
            <w:r w:rsidRPr="0069542B">
              <w:rPr>
                <w:rFonts w:asciiTheme="minorHAnsi" w:hAnsiTheme="minorHAnsi" w:cstheme="minorBidi"/>
                <w:i/>
                <w:color w:val="auto"/>
                <w:sz w:val="20"/>
                <w:szCs w:val="20"/>
              </w:rPr>
              <w:t xml:space="preserve">The requirement in this Annex to reduce risks as far as possible means the reduction of risks as far as possible without adversely affecting the </w:t>
            </w:r>
            <w:r>
              <w:rPr>
                <w:rFonts w:asciiTheme="minorHAnsi" w:hAnsiTheme="minorHAnsi" w:cstheme="minorBidi"/>
                <w:i/>
                <w:color w:val="auto"/>
                <w:sz w:val="20"/>
                <w:szCs w:val="20"/>
              </w:rPr>
              <w:t>risk-</w:t>
            </w:r>
            <w:r w:rsidRPr="0069542B">
              <w:rPr>
                <w:rFonts w:asciiTheme="minorHAnsi" w:hAnsiTheme="minorHAnsi" w:cstheme="minorBidi"/>
                <w:i/>
                <w:color w:val="auto"/>
                <w:sz w:val="20"/>
                <w:szCs w:val="20"/>
              </w:rPr>
              <w:t>benefi</w:t>
            </w:r>
            <w:r>
              <w:rPr>
                <w:rFonts w:asciiTheme="minorHAnsi" w:hAnsiTheme="minorHAnsi" w:cstheme="minorBidi"/>
                <w:i/>
                <w:color w:val="auto"/>
                <w:sz w:val="20"/>
                <w:szCs w:val="20"/>
              </w:rPr>
              <w:t>t</w:t>
            </w:r>
            <w:r w:rsidRPr="0069542B">
              <w:rPr>
                <w:rFonts w:asciiTheme="minorHAnsi" w:hAnsiTheme="minorHAnsi" w:cstheme="minorBidi"/>
                <w:i/>
                <w:color w:val="auto"/>
                <w:sz w:val="20"/>
                <w:szCs w:val="20"/>
              </w:rPr>
              <w:t xml:space="preserve"> ratio</w:t>
            </w:r>
            <w:r w:rsidR="00E279D9" w:rsidRPr="00E279D9">
              <w:rPr>
                <w:rFonts w:asciiTheme="minorHAnsi" w:hAnsiTheme="minorHAnsi" w:cstheme="minorBidi"/>
                <w:i/>
                <w:color w:val="auto"/>
                <w:sz w:val="20"/>
                <w:szCs w:val="20"/>
              </w:rPr>
              <w:t>.</w:t>
            </w:r>
            <w:r w:rsidR="00E279D9">
              <w:rPr>
                <w:rFonts w:asciiTheme="minorHAnsi" w:hAnsiTheme="minorHAnsi" w:cstheme="minorBidi"/>
                <w:i/>
                <w:color w:val="auto"/>
                <w:sz w:val="20"/>
                <w:szCs w:val="20"/>
              </w:rPr>
              <w:t xml:space="preserve"> </w:t>
            </w:r>
          </w:p>
        </w:tc>
      </w:tr>
    </w:tbl>
    <w:p w14:paraId="2F59F0DB" w14:textId="77777777" w:rsidR="00B4620F" w:rsidRPr="006C5B12" w:rsidRDefault="00B4620F" w:rsidP="00F61476">
      <w:pPr>
        <w:jc w:val="both"/>
        <w:rPr>
          <w:lang w:val="en-GB"/>
        </w:rPr>
      </w:pPr>
    </w:p>
    <w:p w14:paraId="453B840A" w14:textId="5DC7153A" w:rsidR="00EA12BB" w:rsidRPr="00EA12BB" w:rsidRDefault="00E279D9" w:rsidP="00EA12BB">
      <w:pPr>
        <w:jc w:val="both"/>
        <w:rPr>
          <w:lang w:val="en-GB"/>
        </w:rPr>
      </w:pPr>
      <w:r>
        <w:rPr>
          <w:lang w:val="en-GB"/>
        </w:rPr>
        <w:t>Even though</w:t>
      </w:r>
      <w:r w:rsidRPr="00E279D9">
        <w:rPr>
          <w:lang w:val="en-GB"/>
        </w:rPr>
        <w:t xml:space="preserve"> both aspects overlap in </w:t>
      </w:r>
      <w:r>
        <w:rPr>
          <w:lang w:val="en-GB"/>
        </w:rPr>
        <w:t>day-to-day practice</w:t>
      </w:r>
      <w:r w:rsidRPr="00E279D9">
        <w:rPr>
          <w:lang w:val="en-GB"/>
        </w:rPr>
        <w:t xml:space="preserve">, within the framework of </w:t>
      </w:r>
      <w:r>
        <w:rPr>
          <w:lang w:val="en-GB"/>
        </w:rPr>
        <w:t xml:space="preserve">a </w:t>
      </w:r>
      <w:r w:rsidRPr="00E279D9">
        <w:rPr>
          <w:lang w:val="en-GB"/>
        </w:rPr>
        <w:t xml:space="preserve">risk analysis and </w:t>
      </w:r>
      <w:r w:rsidR="00691BF7">
        <w:rPr>
          <w:lang w:val="en-GB"/>
        </w:rPr>
        <w:t xml:space="preserve">a risk </w:t>
      </w:r>
      <w:r w:rsidRPr="00E279D9">
        <w:rPr>
          <w:lang w:val="en-GB"/>
        </w:rPr>
        <w:t>assessment</w:t>
      </w:r>
      <w:r>
        <w:rPr>
          <w:lang w:val="en-GB"/>
        </w:rPr>
        <w:t>,</w:t>
      </w:r>
      <w:r w:rsidRPr="00E279D9">
        <w:rPr>
          <w:lang w:val="en-GB"/>
        </w:rPr>
        <w:t xml:space="preserve"> a distinction can be </w:t>
      </w:r>
      <w:r w:rsidR="008235A3" w:rsidRPr="00E279D9">
        <w:rPr>
          <w:lang w:val="en-GB"/>
        </w:rPr>
        <w:t>princip</w:t>
      </w:r>
      <w:r w:rsidR="008235A3">
        <w:rPr>
          <w:lang w:val="en-GB"/>
        </w:rPr>
        <w:t>al</w:t>
      </w:r>
      <w:r w:rsidR="008235A3" w:rsidRPr="00E279D9">
        <w:rPr>
          <w:lang w:val="en-GB"/>
        </w:rPr>
        <w:t>l</w:t>
      </w:r>
      <w:r w:rsidR="008235A3">
        <w:rPr>
          <w:lang w:val="en-GB"/>
        </w:rPr>
        <w:t>y</w:t>
      </w:r>
      <w:r w:rsidR="008235A3" w:rsidRPr="00E279D9">
        <w:rPr>
          <w:lang w:val="en-GB"/>
        </w:rPr>
        <w:t xml:space="preserve"> </w:t>
      </w:r>
      <w:r w:rsidRPr="00E279D9">
        <w:rPr>
          <w:lang w:val="en-GB"/>
        </w:rPr>
        <w:t>made between the design and manufacture of an in-house IVD (</w:t>
      </w:r>
      <w:r>
        <w:rPr>
          <w:lang w:val="en-GB"/>
        </w:rPr>
        <w:t>device</w:t>
      </w:r>
      <w:r w:rsidRPr="00E279D9">
        <w:rPr>
          <w:lang w:val="en-GB"/>
        </w:rPr>
        <w:t>) on the one hand, and its actual use in the laboratory on the other.</w:t>
      </w:r>
      <w:r w:rsidR="00EA12BB" w:rsidRPr="00EA12BB">
        <w:rPr>
          <w:lang w:val="en-GB"/>
        </w:rPr>
        <w:t xml:space="preserve"> Sections 3b (</w:t>
      </w:r>
      <w:r w:rsidR="0069542B">
        <w:rPr>
          <w:lang w:val="en-GB"/>
        </w:rPr>
        <w:t>d</w:t>
      </w:r>
      <w:r w:rsidR="00EA12BB">
        <w:rPr>
          <w:lang w:val="en-GB"/>
        </w:rPr>
        <w:t>evice</w:t>
      </w:r>
      <w:r w:rsidR="00EA12BB" w:rsidRPr="00EA12BB">
        <w:rPr>
          <w:lang w:val="en-GB"/>
        </w:rPr>
        <w:t>) and 3c (</w:t>
      </w:r>
      <w:r w:rsidR="0069542B">
        <w:rPr>
          <w:lang w:val="en-GB"/>
        </w:rPr>
        <w:t>u</w:t>
      </w:r>
      <w:r w:rsidR="00EA12BB" w:rsidRPr="00EA12BB">
        <w:rPr>
          <w:lang w:val="en-GB"/>
        </w:rPr>
        <w:t>se) of Annex I, Chapter I of the IVDR</w:t>
      </w:r>
      <w:r w:rsidR="0087640D">
        <w:rPr>
          <w:lang w:val="en-GB"/>
        </w:rPr>
        <w:t xml:space="preserve"> are</w:t>
      </w:r>
      <w:r w:rsidR="00EA12BB" w:rsidRPr="00EA12BB">
        <w:rPr>
          <w:lang w:val="en-GB"/>
        </w:rPr>
        <w:t xml:space="preserve"> described below</w:t>
      </w:r>
      <w:r w:rsidR="0087640D">
        <w:rPr>
          <w:lang w:val="en-GB"/>
        </w:rPr>
        <w:t xml:space="preserve"> and</w:t>
      </w:r>
      <w:r w:rsidR="00EA12BB" w:rsidRPr="00EA12BB">
        <w:rPr>
          <w:lang w:val="en-GB"/>
        </w:rPr>
        <w:t xml:space="preserve"> interpreted accordingly</w:t>
      </w:r>
      <w:r w:rsidR="008235A3" w:rsidRPr="008235A3">
        <w:rPr>
          <w:lang w:val="en-GB"/>
        </w:rPr>
        <w:t xml:space="preserve"> </w:t>
      </w:r>
      <w:r w:rsidR="0087640D">
        <w:rPr>
          <w:lang w:val="en-GB"/>
        </w:rPr>
        <w:t>in</w:t>
      </w:r>
      <w:r w:rsidR="008235A3" w:rsidRPr="00EA12BB">
        <w:rPr>
          <w:lang w:val="en-GB"/>
        </w:rPr>
        <w:t xml:space="preserve"> this document</w:t>
      </w:r>
      <w:r w:rsidR="00EA12BB" w:rsidRPr="00EA12BB">
        <w:rPr>
          <w:lang w:val="en-GB"/>
        </w:rPr>
        <w:t xml:space="preserve">. </w:t>
      </w:r>
      <w:r w:rsidR="00EA12BB" w:rsidRPr="0087640D">
        <w:rPr>
          <w:lang w:val="en-GB"/>
        </w:rPr>
        <w:t>It is assumed here that</w:t>
      </w:r>
      <w:r w:rsidR="0087640D" w:rsidRPr="0087640D">
        <w:rPr>
          <w:lang w:val="en-GB"/>
        </w:rPr>
        <w:t>,</w:t>
      </w:r>
      <w:r w:rsidR="00EA12BB" w:rsidRPr="0087640D">
        <w:rPr>
          <w:lang w:val="en-GB"/>
        </w:rPr>
        <w:t xml:space="preserve"> </w:t>
      </w:r>
      <w:r w:rsidR="0087640D" w:rsidRPr="0087640D">
        <w:rPr>
          <w:lang w:val="en-GB"/>
        </w:rPr>
        <w:t xml:space="preserve">prior to its use, the performance and safety aspects of </w:t>
      </w:r>
      <w:r w:rsidR="00EA12BB" w:rsidRPr="0087640D">
        <w:rPr>
          <w:lang w:val="en-GB"/>
        </w:rPr>
        <w:t xml:space="preserve">the in-house IVD (device or a generic device group) </w:t>
      </w:r>
      <w:r w:rsidR="0087640D" w:rsidRPr="0087640D">
        <w:rPr>
          <w:lang w:val="en-GB"/>
        </w:rPr>
        <w:t>have</w:t>
      </w:r>
      <w:r w:rsidR="00EA12BB" w:rsidRPr="0087640D">
        <w:rPr>
          <w:lang w:val="en-GB"/>
        </w:rPr>
        <w:t xml:space="preserve"> already been optimised as much as possible </w:t>
      </w:r>
      <w:r w:rsidR="0087640D" w:rsidRPr="0087640D">
        <w:rPr>
          <w:lang w:val="en-GB"/>
        </w:rPr>
        <w:t>in accordance with the overriding quality objectives and strategies of</w:t>
      </w:r>
      <w:r w:rsidR="00EA12BB" w:rsidRPr="0087640D">
        <w:rPr>
          <w:lang w:val="en-GB"/>
        </w:rPr>
        <w:t xml:space="preserve"> the laboratory </w:t>
      </w:r>
      <w:r w:rsidR="00907CE4" w:rsidRPr="0087640D">
        <w:rPr>
          <w:lang w:val="en-GB"/>
        </w:rPr>
        <w:t>that uses it</w:t>
      </w:r>
      <w:r w:rsidR="00EA12BB" w:rsidRPr="0087640D">
        <w:rPr>
          <w:lang w:val="en-GB"/>
        </w:rPr>
        <w:t xml:space="preserve">, as well as </w:t>
      </w:r>
      <w:r w:rsidR="0087640D" w:rsidRPr="0087640D">
        <w:rPr>
          <w:lang w:val="en-GB"/>
        </w:rPr>
        <w:t xml:space="preserve">in accordance with </w:t>
      </w:r>
      <w:r w:rsidR="00EA12BB" w:rsidRPr="0087640D">
        <w:rPr>
          <w:lang w:val="en-GB"/>
        </w:rPr>
        <w:t xml:space="preserve">the aspects under </w:t>
      </w:r>
      <w:r w:rsidR="003224D6">
        <w:rPr>
          <w:lang w:val="en-GB"/>
        </w:rPr>
        <w:t>Point</w:t>
      </w:r>
      <w:r w:rsidR="00EA12BB" w:rsidRPr="0087640D">
        <w:rPr>
          <w:lang w:val="en-GB"/>
        </w:rPr>
        <w:t xml:space="preserve"> 2.2 of this document, which is reflected, </w:t>
      </w:r>
      <w:r w:rsidR="0087640D" w:rsidRPr="0087640D">
        <w:rPr>
          <w:lang w:val="en-GB"/>
        </w:rPr>
        <w:t>for example</w:t>
      </w:r>
      <w:r w:rsidR="00EA12BB" w:rsidRPr="0087640D">
        <w:rPr>
          <w:lang w:val="en-GB"/>
        </w:rPr>
        <w:t xml:space="preserve">, in the </w:t>
      </w:r>
      <w:r w:rsidR="0087640D" w:rsidRPr="0087640D">
        <w:rPr>
          <w:lang w:val="en-GB"/>
        </w:rPr>
        <w:t>corresponding</w:t>
      </w:r>
      <w:r w:rsidR="00EA12BB" w:rsidRPr="0087640D">
        <w:rPr>
          <w:lang w:val="en-GB"/>
        </w:rPr>
        <w:t xml:space="preserve"> “Technical Documentation”. </w:t>
      </w:r>
      <w:r w:rsidR="00907CE4" w:rsidRPr="00907CE4">
        <w:rPr>
          <w:lang w:val="en-GB"/>
        </w:rPr>
        <w:t xml:space="preserve">Thus, in terms of risk management, the </w:t>
      </w:r>
      <w:r w:rsidR="00DE7AB2" w:rsidRPr="00907CE4">
        <w:rPr>
          <w:lang w:val="en-GB"/>
        </w:rPr>
        <w:t xml:space="preserve">points </w:t>
      </w:r>
      <w:r w:rsidR="003224D6">
        <w:rPr>
          <w:lang w:val="en-GB"/>
        </w:rPr>
        <w:t>on</w:t>
      </w:r>
      <w:r w:rsidR="00DE7AB2">
        <w:rPr>
          <w:lang w:val="en-GB"/>
        </w:rPr>
        <w:t xml:space="preserve"> </w:t>
      </w:r>
      <w:r w:rsidR="00907CE4" w:rsidRPr="00907CE4">
        <w:rPr>
          <w:lang w:val="en-GB"/>
        </w:rPr>
        <w:t xml:space="preserve">risk analysis and </w:t>
      </w:r>
      <w:r w:rsidR="00691BF7">
        <w:rPr>
          <w:lang w:val="en-GB"/>
        </w:rPr>
        <w:t xml:space="preserve">risk </w:t>
      </w:r>
      <w:r w:rsidR="00907CE4" w:rsidRPr="00907CE4">
        <w:rPr>
          <w:lang w:val="en-GB"/>
        </w:rPr>
        <w:t xml:space="preserve">assessment </w:t>
      </w:r>
      <w:r w:rsidR="00DE7AB2" w:rsidRPr="00907CE4">
        <w:rPr>
          <w:lang w:val="en-GB"/>
        </w:rPr>
        <w:t xml:space="preserve">listed above </w:t>
      </w:r>
      <w:r w:rsidR="00907CE4" w:rsidRPr="00907CE4">
        <w:rPr>
          <w:lang w:val="en-GB"/>
        </w:rPr>
        <w:t xml:space="preserve">would primarily relate to the </w:t>
      </w:r>
      <w:r w:rsidR="00907CE4">
        <w:rPr>
          <w:lang w:val="en-GB"/>
        </w:rPr>
        <w:t xml:space="preserve">use </w:t>
      </w:r>
      <w:r w:rsidR="00907CE4" w:rsidRPr="00907CE4">
        <w:rPr>
          <w:lang w:val="en-GB"/>
        </w:rPr>
        <w:t xml:space="preserve">of </w:t>
      </w:r>
      <w:r w:rsidR="00026596">
        <w:rPr>
          <w:lang w:val="en-GB"/>
        </w:rPr>
        <w:t>an</w:t>
      </w:r>
      <w:r w:rsidR="00907CE4" w:rsidRPr="00907CE4">
        <w:rPr>
          <w:lang w:val="en-GB"/>
        </w:rPr>
        <w:t xml:space="preserve"> optimised </w:t>
      </w:r>
      <w:r w:rsidR="00907CE4">
        <w:rPr>
          <w:lang w:val="en-GB"/>
        </w:rPr>
        <w:t>device</w:t>
      </w:r>
      <w:r w:rsidR="00907CE4" w:rsidRPr="00907CE4">
        <w:rPr>
          <w:lang w:val="en-GB"/>
        </w:rPr>
        <w:t xml:space="preserve"> in the laboratory.      </w:t>
      </w:r>
    </w:p>
    <w:p w14:paraId="2879DE9F" w14:textId="77777777" w:rsidR="00B4620F" w:rsidRPr="006C5B12" w:rsidRDefault="00B4620F" w:rsidP="00F61476">
      <w:pPr>
        <w:jc w:val="both"/>
        <w:rPr>
          <w:lang w:val="en-GB"/>
        </w:rPr>
      </w:pPr>
    </w:p>
    <w:p w14:paraId="3A5426E0" w14:textId="3FE1A5AA" w:rsidR="006C09AA" w:rsidRPr="006C5B12" w:rsidRDefault="006C09AA" w:rsidP="00F4147C">
      <w:pPr>
        <w:pStyle w:val="berschrift2"/>
        <w:rPr>
          <w:lang w:val="en-GB"/>
        </w:rPr>
      </w:pPr>
      <w:bookmarkStart w:id="4" w:name="_Ref71886644"/>
      <w:r w:rsidRPr="006C5B12">
        <w:rPr>
          <w:lang w:val="en-GB"/>
        </w:rPr>
        <w:t>An</w:t>
      </w:r>
      <w:r w:rsidR="00907CE4">
        <w:rPr>
          <w:lang w:val="en-GB"/>
        </w:rPr>
        <w:t>nex</w:t>
      </w:r>
      <w:r w:rsidRPr="006C5B12">
        <w:rPr>
          <w:lang w:val="en-GB"/>
        </w:rPr>
        <w:t xml:space="preserve"> I, </w:t>
      </w:r>
      <w:r w:rsidR="00907CE4">
        <w:rPr>
          <w:lang w:val="en-GB"/>
        </w:rPr>
        <w:t>Chapter</w:t>
      </w:r>
      <w:r w:rsidRPr="006C5B12">
        <w:rPr>
          <w:lang w:val="en-GB"/>
        </w:rPr>
        <w:t xml:space="preserve"> I, </w:t>
      </w:r>
      <w:r w:rsidR="00907CE4">
        <w:rPr>
          <w:b/>
          <w:lang w:val="en-GB"/>
        </w:rPr>
        <w:t>Section</w:t>
      </w:r>
      <w:r w:rsidRPr="006C5B12">
        <w:rPr>
          <w:b/>
          <w:lang w:val="en-GB"/>
        </w:rPr>
        <w:t xml:space="preserve"> 3b</w:t>
      </w:r>
      <w:r w:rsidRPr="006C5B12">
        <w:rPr>
          <w:lang w:val="en-GB"/>
        </w:rPr>
        <w:t xml:space="preserve">: </w:t>
      </w:r>
      <w:r w:rsidR="00340C4D">
        <w:rPr>
          <w:lang w:val="en-GB"/>
        </w:rPr>
        <w:t>I</w:t>
      </w:r>
      <w:r w:rsidR="00907CE4">
        <w:rPr>
          <w:lang w:val="en-GB"/>
        </w:rPr>
        <w:t xml:space="preserve">dentifying and </w:t>
      </w:r>
      <w:r w:rsidR="008F68D8">
        <w:rPr>
          <w:lang w:val="en-GB"/>
        </w:rPr>
        <w:t>a</w:t>
      </w:r>
      <w:r w:rsidR="00907CE4">
        <w:rPr>
          <w:lang w:val="en-GB"/>
        </w:rPr>
        <w:t xml:space="preserve">nalysing the </w:t>
      </w:r>
      <w:r w:rsidR="008F68D8">
        <w:rPr>
          <w:lang w:val="en-GB"/>
        </w:rPr>
        <w:t>k</w:t>
      </w:r>
      <w:r w:rsidR="00907CE4">
        <w:rPr>
          <w:lang w:val="en-GB"/>
        </w:rPr>
        <w:t xml:space="preserve">nown and </w:t>
      </w:r>
      <w:r w:rsidR="008F68D8">
        <w:rPr>
          <w:lang w:val="en-GB"/>
        </w:rPr>
        <w:t>f</w:t>
      </w:r>
      <w:r w:rsidR="00907CE4">
        <w:rPr>
          <w:lang w:val="en-GB"/>
        </w:rPr>
        <w:t xml:space="preserve">oreseeable </w:t>
      </w:r>
      <w:r w:rsidR="008F68D8">
        <w:rPr>
          <w:lang w:val="en-GB"/>
        </w:rPr>
        <w:t>h</w:t>
      </w:r>
      <w:r w:rsidR="00907CE4">
        <w:rPr>
          <w:lang w:val="en-GB"/>
        </w:rPr>
        <w:t xml:space="preserve">azards </w:t>
      </w:r>
      <w:r w:rsidR="008F68D8">
        <w:rPr>
          <w:lang w:val="en-GB"/>
        </w:rPr>
        <w:t>a</w:t>
      </w:r>
      <w:r w:rsidR="00907CE4">
        <w:rPr>
          <w:lang w:val="en-GB"/>
        </w:rPr>
        <w:t xml:space="preserve">ssociated with </w:t>
      </w:r>
      <w:r w:rsidR="008F68D8">
        <w:rPr>
          <w:lang w:val="en-GB"/>
        </w:rPr>
        <w:t>e</w:t>
      </w:r>
      <w:r w:rsidR="00907CE4">
        <w:rPr>
          <w:lang w:val="en-GB"/>
        </w:rPr>
        <w:t xml:space="preserve">ach </w:t>
      </w:r>
      <w:r w:rsidR="008F68D8">
        <w:rPr>
          <w:lang w:val="en-GB"/>
        </w:rPr>
        <w:t>d</w:t>
      </w:r>
      <w:r w:rsidR="00907CE4">
        <w:rPr>
          <w:lang w:val="en-GB"/>
        </w:rPr>
        <w:t xml:space="preserve">evice </w:t>
      </w:r>
      <w:bookmarkEnd w:id="4"/>
    </w:p>
    <w:p w14:paraId="73BDFBDB" w14:textId="5D6083DC" w:rsidR="001B2768" w:rsidRPr="001B2768" w:rsidRDefault="006F4234" w:rsidP="001B2768">
      <w:pPr>
        <w:spacing w:after="0"/>
        <w:jc w:val="both"/>
        <w:rPr>
          <w:lang w:val="en-GB"/>
        </w:rPr>
      </w:pPr>
      <w:r>
        <w:rPr>
          <w:lang w:val="en-GB"/>
        </w:rPr>
        <w:t>As</w:t>
      </w:r>
      <w:r w:rsidR="00907CE4" w:rsidRPr="00907CE4">
        <w:rPr>
          <w:lang w:val="en-GB"/>
        </w:rPr>
        <w:t xml:space="preserve"> this section of the IVDR refer</w:t>
      </w:r>
      <w:r w:rsidR="00907CE4">
        <w:rPr>
          <w:lang w:val="en-GB"/>
        </w:rPr>
        <w:t>s</w:t>
      </w:r>
      <w:r w:rsidR="00EC0C31">
        <w:rPr>
          <w:lang w:val="en-GB"/>
        </w:rPr>
        <w:t xml:space="preserve"> specifically</w:t>
      </w:r>
      <w:r w:rsidR="00907CE4">
        <w:rPr>
          <w:lang w:val="en-GB"/>
        </w:rPr>
        <w:t xml:space="preserve"> </w:t>
      </w:r>
      <w:r w:rsidR="00907CE4" w:rsidRPr="00907CE4">
        <w:rPr>
          <w:lang w:val="en-GB"/>
        </w:rPr>
        <w:t xml:space="preserve">to the </w:t>
      </w:r>
      <w:r w:rsidR="00907CE4">
        <w:rPr>
          <w:lang w:val="en-GB"/>
        </w:rPr>
        <w:t>“device”</w:t>
      </w:r>
      <w:r w:rsidR="00907CE4" w:rsidRPr="00907CE4">
        <w:rPr>
          <w:lang w:val="en-GB"/>
        </w:rPr>
        <w:t>, i.e.</w:t>
      </w:r>
      <w:r w:rsidR="00340C4D">
        <w:rPr>
          <w:lang w:val="en-GB"/>
        </w:rPr>
        <w:t>,</w:t>
      </w:r>
      <w:r w:rsidR="00907CE4" w:rsidRPr="00907CE4">
        <w:rPr>
          <w:lang w:val="en-GB"/>
        </w:rPr>
        <w:t xml:space="preserve"> the in-house IVD or a generic </w:t>
      </w:r>
      <w:r w:rsidR="00EC0C31">
        <w:rPr>
          <w:lang w:val="en-GB"/>
        </w:rPr>
        <w:t>device</w:t>
      </w:r>
      <w:r w:rsidR="00907CE4" w:rsidRPr="00907CE4">
        <w:rPr>
          <w:lang w:val="en-GB"/>
        </w:rPr>
        <w:t xml:space="preserve"> group, </w:t>
      </w:r>
      <w:r>
        <w:rPr>
          <w:lang w:val="en-GB"/>
        </w:rPr>
        <w:t xml:space="preserve">the </w:t>
      </w:r>
      <w:r w:rsidR="00907CE4" w:rsidRPr="00907CE4">
        <w:rPr>
          <w:lang w:val="en-GB"/>
        </w:rPr>
        <w:t>known and foreseeable hazards</w:t>
      </w:r>
      <w:r w:rsidR="00995041">
        <w:rPr>
          <w:lang w:val="en-GB"/>
        </w:rPr>
        <w:t>,</w:t>
      </w:r>
      <w:r w:rsidR="00907CE4" w:rsidRPr="00907CE4">
        <w:rPr>
          <w:lang w:val="en-GB"/>
        </w:rPr>
        <w:t xml:space="preserve"> </w:t>
      </w:r>
      <w:r w:rsidR="00340C4D">
        <w:rPr>
          <w:lang w:val="en-GB"/>
        </w:rPr>
        <w:t xml:space="preserve">as </w:t>
      </w:r>
      <w:r w:rsidR="00995041">
        <w:rPr>
          <w:lang w:val="en-GB"/>
        </w:rPr>
        <w:t>defined by</w:t>
      </w:r>
      <w:r w:rsidR="00340C4D" w:rsidRPr="00907CE4">
        <w:rPr>
          <w:lang w:val="en-GB"/>
        </w:rPr>
        <w:t xml:space="preserve"> the IVDR</w:t>
      </w:r>
      <w:r w:rsidR="00995041">
        <w:rPr>
          <w:lang w:val="en-GB"/>
        </w:rPr>
        <w:t>,</w:t>
      </w:r>
      <w:r w:rsidR="00340C4D" w:rsidRPr="00907CE4">
        <w:rPr>
          <w:lang w:val="en-GB"/>
        </w:rPr>
        <w:t xml:space="preserve"> </w:t>
      </w:r>
      <w:r w:rsidR="00907CE4" w:rsidRPr="00907CE4">
        <w:rPr>
          <w:lang w:val="en-GB"/>
        </w:rPr>
        <w:t xml:space="preserve">should already have been </w:t>
      </w:r>
      <w:proofErr w:type="gramStart"/>
      <w:r w:rsidR="00907CE4" w:rsidRPr="00907CE4">
        <w:rPr>
          <w:lang w:val="en-GB"/>
        </w:rPr>
        <w:t>taken into account</w:t>
      </w:r>
      <w:proofErr w:type="gramEnd"/>
      <w:r w:rsidR="00907CE4" w:rsidRPr="00907CE4">
        <w:rPr>
          <w:lang w:val="en-GB"/>
        </w:rPr>
        <w:t xml:space="preserve"> during </w:t>
      </w:r>
      <w:r w:rsidR="00EC0C31">
        <w:rPr>
          <w:lang w:val="en-GB"/>
        </w:rPr>
        <w:t xml:space="preserve">the </w:t>
      </w:r>
      <w:r w:rsidR="00907CE4" w:rsidRPr="00907CE4">
        <w:rPr>
          <w:lang w:val="en-GB"/>
        </w:rPr>
        <w:t>design and manufactur</w:t>
      </w:r>
      <w:r w:rsidR="00EC0C31">
        <w:rPr>
          <w:lang w:val="en-GB"/>
        </w:rPr>
        <w:t>ing process</w:t>
      </w:r>
      <w:r w:rsidR="00907CE4" w:rsidRPr="00907CE4">
        <w:rPr>
          <w:lang w:val="en-GB"/>
        </w:rPr>
        <w:t xml:space="preserve"> and minimised </w:t>
      </w:r>
      <w:r w:rsidR="00595F88">
        <w:rPr>
          <w:lang w:val="en-GB"/>
        </w:rPr>
        <w:t>as far as</w:t>
      </w:r>
      <w:r w:rsidR="00907CE4" w:rsidRPr="00907CE4">
        <w:rPr>
          <w:lang w:val="en-GB"/>
        </w:rPr>
        <w:t xml:space="preserve"> possible. </w:t>
      </w:r>
      <w:r>
        <w:rPr>
          <w:lang w:val="en-GB"/>
        </w:rPr>
        <w:t>O</w:t>
      </w:r>
      <w:r w:rsidR="00EC0C31" w:rsidRPr="00EC0C31">
        <w:rPr>
          <w:lang w:val="en-GB"/>
        </w:rPr>
        <w:t>ther sections of the IVDR are also relevant</w:t>
      </w:r>
      <w:r w:rsidR="00595F88">
        <w:rPr>
          <w:lang w:val="en-GB"/>
        </w:rPr>
        <w:t xml:space="preserve"> and/</w:t>
      </w:r>
      <w:r w:rsidR="00EC0C31" w:rsidRPr="00EC0C31">
        <w:rPr>
          <w:lang w:val="en-GB"/>
        </w:rPr>
        <w:t xml:space="preserve">or can be covered </w:t>
      </w:r>
      <w:r w:rsidR="003224D6">
        <w:rPr>
          <w:lang w:val="en-GB"/>
        </w:rPr>
        <w:t>in this point</w:t>
      </w:r>
      <w:r w:rsidR="00EC0C31" w:rsidRPr="00EC0C31">
        <w:rPr>
          <w:lang w:val="en-GB"/>
        </w:rPr>
        <w:t>: Annex I, Chapter I, Sections 1 and 8 (</w:t>
      </w:r>
      <w:r w:rsidR="00995041">
        <w:rPr>
          <w:lang w:val="en-GB"/>
        </w:rPr>
        <w:t>see</w:t>
      </w:r>
      <w:r w:rsidR="00EC0C31" w:rsidRPr="00EC0C31">
        <w:rPr>
          <w:lang w:val="en-GB"/>
        </w:rPr>
        <w:t xml:space="preserve"> Table 2 above), as well as Section 4 (</w:t>
      </w:r>
      <w:r w:rsidR="00995041">
        <w:rPr>
          <w:lang w:val="en-GB"/>
        </w:rPr>
        <w:t>see</w:t>
      </w:r>
      <w:r w:rsidR="00EC0C31" w:rsidRPr="00EC0C31">
        <w:rPr>
          <w:lang w:val="en-GB"/>
        </w:rPr>
        <w:t xml:space="preserve"> </w:t>
      </w:r>
      <w:r w:rsidR="003224D6">
        <w:rPr>
          <w:lang w:val="en-GB"/>
        </w:rPr>
        <w:t>Point</w:t>
      </w:r>
      <w:r w:rsidR="00EC0C31" w:rsidRPr="00EC0C31">
        <w:rPr>
          <w:lang w:val="en-GB"/>
        </w:rPr>
        <w:t xml:space="preserve"> 2.4 </w:t>
      </w:r>
      <w:r w:rsidR="00EC0C31">
        <w:rPr>
          <w:lang w:val="en-GB"/>
        </w:rPr>
        <w:t>in</w:t>
      </w:r>
      <w:r w:rsidR="00EC0C31" w:rsidRPr="00EC0C31">
        <w:rPr>
          <w:lang w:val="en-GB"/>
        </w:rPr>
        <w:t xml:space="preserve"> this document). In addition to </w:t>
      </w:r>
      <w:r w:rsidR="00595F88">
        <w:rPr>
          <w:lang w:val="en-GB"/>
        </w:rPr>
        <w:t>considering</w:t>
      </w:r>
      <w:r w:rsidR="00EC0C31" w:rsidRPr="00EC0C31">
        <w:rPr>
          <w:lang w:val="en-GB"/>
        </w:rPr>
        <w:t xml:space="preserve"> the applicable points of Annex I of the IVDR (</w:t>
      </w:r>
      <w:r w:rsidR="001B2768">
        <w:rPr>
          <w:lang w:val="en-GB"/>
        </w:rPr>
        <w:t>see</w:t>
      </w:r>
      <w:r w:rsidR="00EC0C31" w:rsidRPr="00EC0C31">
        <w:rPr>
          <w:lang w:val="en-GB"/>
        </w:rPr>
        <w:t xml:space="preserve"> </w:t>
      </w:r>
      <w:r w:rsidR="00995041">
        <w:rPr>
          <w:lang w:val="en-GB"/>
        </w:rPr>
        <w:t>“</w:t>
      </w:r>
      <w:r w:rsidR="00EC0C31" w:rsidRPr="00EC0C31">
        <w:rPr>
          <w:lang w:val="en-GB"/>
        </w:rPr>
        <w:t>Checklist Annex I</w:t>
      </w:r>
      <w:r w:rsidR="00995041">
        <w:rPr>
          <w:lang w:val="en-GB"/>
        </w:rPr>
        <w:t>”</w:t>
      </w:r>
      <w:r w:rsidR="00EC0C31" w:rsidRPr="00EC0C31">
        <w:rPr>
          <w:lang w:val="en-GB"/>
        </w:rPr>
        <w:t xml:space="preserve"> </w:t>
      </w:r>
      <w:r w:rsidR="00995041">
        <w:rPr>
          <w:lang w:val="en-GB"/>
        </w:rPr>
        <w:t>issued by t</w:t>
      </w:r>
      <w:r w:rsidR="00EC0C31" w:rsidRPr="00EC0C31">
        <w:rPr>
          <w:lang w:val="en-GB"/>
        </w:rPr>
        <w:t xml:space="preserve">he </w:t>
      </w:r>
      <w:r w:rsidR="001B2768" w:rsidRPr="00EC0C31">
        <w:rPr>
          <w:lang w:val="en-GB"/>
        </w:rPr>
        <w:t>AWMF</w:t>
      </w:r>
      <w:r w:rsidR="001B2768">
        <w:rPr>
          <w:lang w:val="en-GB"/>
        </w:rPr>
        <w:t>’s</w:t>
      </w:r>
      <w:r w:rsidR="001B2768" w:rsidRPr="00EC0C31">
        <w:rPr>
          <w:lang w:val="en-GB"/>
        </w:rPr>
        <w:t xml:space="preserve"> </w:t>
      </w:r>
      <w:r w:rsidR="00EC0C31" w:rsidRPr="00EC0C31">
        <w:rPr>
          <w:lang w:val="en-GB"/>
        </w:rPr>
        <w:lastRenderedPageBreak/>
        <w:t>Ad</w:t>
      </w:r>
      <w:r w:rsidR="00995041">
        <w:rPr>
          <w:lang w:val="en-GB"/>
        </w:rPr>
        <w:t xml:space="preserve"> </w:t>
      </w:r>
      <w:r w:rsidR="00EC0C31" w:rsidRPr="00EC0C31">
        <w:rPr>
          <w:lang w:val="en-GB"/>
        </w:rPr>
        <w:t>Hoc Commission</w:t>
      </w:r>
      <w:r w:rsidR="001B2768">
        <w:rPr>
          <w:lang w:val="en-GB"/>
        </w:rPr>
        <w:t xml:space="preserve"> </w:t>
      </w:r>
      <w:r w:rsidR="00EC0C31" w:rsidRPr="00EC0C31">
        <w:rPr>
          <w:lang w:val="en-GB"/>
        </w:rPr>
        <w:t>IVD), potential mis</w:t>
      </w:r>
      <w:r w:rsidR="00995041">
        <w:rPr>
          <w:lang w:val="en-GB"/>
        </w:rPr>
        <w:t xml:space="preserve">use is </w:t>
      </w:r>
      <w:r w:rsidR="001B2768">
        <w:rPr>
          <w:lang w:val="en-GB"/>
        </w:rPr>
        <w:t xml:space="preserve">to be </w:t>
      </w:r>
      <w:r w:rsidR="00EC0C31" w:rsidRPr="00EC0C31">
        <w:rPr>
          <w:lang w:val="en-GB"/>
        </w:rPr>
        <w:t xml:space="preserve">anticipated and </w:t>
      </w:r>
      <w:r w:rsidR="00995041">
        <w:rPr>
          <w:lang w:val="en-GB"/>
        </w:rPr>
        <w:t>eliminated</w:t>
      </w:r>
      <w:r w:rsidR="00EC0C31" w:rsidRPr="00EC0C31">
        <w:rPr>
          <w:lang w:val="en-GB"/>
        </w:rPr>
        <w:t xml:space="preserve"> as </w:t>
      </w:r>
      <w:r w:rsidR="00595F88">
        <w:rPr>
          <w:lang w:val="en-GB"/>
        </w:rPr>
        <w:t>far</w:t>
      </w:r>
      <w:r w:rsidR="00EC0C31" w:rsidRPr="00EC0C31">
        <w:rPr>
          <w:lang w:val="en-GB"/>
        </w:rPr>
        <w:t xml:space="preserve"> as possible in advance. </w:t>
      </w:r>
      <w:r w:rsidR="001B2768" w:rsidRPr="001B2768">
        <w:rPr>
          <w:lang w:val="en-GB"/>
        </w:rPr>
        <w:t xml:space="preserve">This </w:t>
      </w:r>
      <w:r w:rsidR="001B2768">
        <w:rPr>
          <w:lang w:val="en-GB"/>
        </w:rPr>
        <w:t>can</w:t>
      </w:r>
      <w:r w:rsidR="001B2768" w:rsidRPr="001B2768">
        <w:rPr>
          <w:lang w:val="en-GB"/>
        </w:rPr>
        <w:t xml:space="preserve"> include measures such as the clear labelling of reagents, the use of </w:t>
      </w:r>
      <w:r w:rsidR="00595F88">
        <w:rPr>
          <w:lang w:val="en-GB"/>
        </w:rPr>
        <w:t>qualified</w:t>
      </w:r>
      <w:r w:rsidR="001B2768" w:rsidRPr="001B2768">
        <w:rPr>
          <w:lang w:val="en-GB"/>
        </w:rPr>
        <w:t xml:space="preserve"> personnel, the establishment of adequate SOPs, etc. (see Annex I, Chapter I, Section 4). </w:t>
      </w:r>
      <w:r w:rsidR="00DD05A9">
        <w:rPr>
          <w:lang w:val="en-GB"/>
        </w:rPr>
        <w:t>There should also</w:t>
      </w:r>
      <w:r w:rsidR="001B2768" w:rsidRPr="001B2768">
        <w:rPr>
          <w:lang w:val="en-GB"/>
        </w:rPr>
        <w:t xml:space="preserve"> be a description of the safety characteristics, including the </w:t>
      </w:r>
      <w:r w:rsidR="001B2768">
        <w:rPr>
          <w:lang w:val="en-GB"/>
        </w:rPr>
        <w:t>identified</w:t>
      </w:r>
      <w:r w:rsidR="001B2768" w:rsidRPr="001B2768">
        <w:rPr>
          <w:lang w:val="en-GB"/>
        </w:rPr>
        <w:t xml:space="preserve"> performance characteristics</w:t>
      </w:r>
      <w:r w:rsidR="00DD05A9">
        <w:rPr>
          <w:lang w:val="en-GB"/>
        </w:rPr>
        <w:t>,</w:t>
      </w:r>
      <w:r w:rsidR="001B2768" w:rsidRPr="001B2768">
        <w:rPr>
          <w:lang w:val="en-GB"/>
        </w:rPr>
        <w:t xml:space="preserve"> and confirmation that these are sufficient and safe for the patient group </w:t>
      </w:r>
      <w:r w:rsidR="001B2768">
        <w:rPr>
          <w:lang w:val="en-GB"/>
        </w:rPr>
        <w:t xml:space="preserve">being </w:t>
      </w:r>
      <w:r w:rsidR="00595F88">
        <w:rPr>
          <w:lang w:val="en-GB"/>
        </w:rPr>
        <w:t>tested</w:t>
      </w:r>
      <w:r w:rsidR="001B2768" w:rsidRPr="001B2768">
        <w:rPr>
          <w:lang w:val="en-GB"/>
        </w:rPr>
        <w:t xml:space="preserve"> (Annex I, Chapter I, Section 1).</w:t>
      </w:r>
      <w:r w:rsidR="000D7C11" w:rsidRPr="00A71F51">
        <w:rPr>
          <w:lang w:val="en-GB"/>
        </w:rPr>
        <w:t xml:space="preserve"> </w:t>
      </w:r>
      <w:r w:rsidR="0052144A" w:rsidRPr="00A71F51">
        <w:rPr>
          <w:lang w:val="en-GB"/>
        </w:rPr>
        <w:t>In terms of</w:t>
      </w:r>
      <w:r w:rsidR="000D7C11" w:rsidRPr="000D7C11">
        <w:rPr>
          <w:lang w:val="en-GB"/>
        </w:rPr>
        <w:t xml:space="preserve"> the risk analysis described in </w:t>
      </w:r>
      <w:r w:rsidR="000D7C11">
        <w:rPr>
          <w:lang w:val="en-GB"/>
        </w:rPr>
        <w:t>S</w:t>
      </w:r>
      <w:r w:rsidR="000D7C11" w:rsidRPr="000D7C11">
        <w:rPr>
          <w:lang w:val="en-GB"/>
        </w:rPr>
        <w:t xml:space="preserve">ection 5 of EN ISO 22367:2020, </w:t>
      </w:r>
      <w:r w:rsidR="000D7C11">
        <w:rPr>
          <w:lang w:val="en-GB"/>
        </w:rPr>
        <w:t>S</w:t>
      </w:r>
      <w:r w:rsidR="000D7C11" w:rsidRPr="000D7C11">
        <w:rPr>
          <w:lang w:val="en-GB"/>
        </w:rPr>
        <w:t>ections 5.3 and 5.4 (incl. Annex D) appear to be of particular importance.</w:t>
      </w:r>
    </w:p>
    <w:p w14:paraId="4DB3854F" w14:textId="17A78984" w:rsidR="00542279" w:rsidRPr="006C5B12" w:rsidRDefault="00542279" w:rsidP="009649BB">
      <w:pPr>
        <w:jc w:val="both"/>
        <w:rPr>
          <w:lang w:val="en-GB"/>
        </w:rPr>
      </w:pPr>
    </w:p>
    <w:p w14:paraId="679F6C30" w14:textId="2E2D7238" w:rsidR="006C09AA" w:rsidRPr="006C5B12" w:rsidRDefault="006C09AA" w:rsidP="00F4147C">
      <w:pPr>
        <w:pStyle w:val="berschrift2"/>
        <w:rPr>
          <w:lang w:val="en-GB"/>
        </w:rPr>
      </w:pPr>
      <w:bookmarkStart w:id="5" w:name="_Ref71886651"/>
      <w:r w:rsidRPr="006C5B12">
        <w:rPr>
          <w:lang w:val="en-GB"/>
        </w:rPr>
        <w:t>An</w:t>
      </w:r>
      <w:r w:rsidR="005A6A23">
        <w:rPr>
          <w:lang w:val="en-GB"/>
        </w:rPr>
        <w:t>nex</w:t>
      </w:r>
      <w:r w:rsidRPr="006C5B12">
        <w:rPr>
          <w:lang w:val="en-GB"/>
        </w:rPr>
        <w:t xml:space="preserve"> I, </w:t>
      </w:r>
      <w:r w:rsidR="005A6A23">
        <w:rPr>
          <w:lang w:val="en-GB"/>
        </w:rPr>
        <w:t>Chapter</w:t>
      </w:r>
      <w:r w:rsidRPr="006C5B12">
        <w:rPr>
          <w:lang w:val="en-GB"/>
        </w:rPr>
        <w:t xml:space="preserve"> I, </w:t>
      </w:r>
      <w:r w:rsidR="005A6A23">
        <w:rPr>
          <w:b/>
          <w:lang w:val="en-GB"/>
        </w:rPr>
        <w:t>Section</w:t>
      </w:r>
      <w:r w:rsidRPr="006C5B12">
        <w:rPr>
          <w:b/>
          <w:lang w:val="en-GB"/>
        </w:rPr>
        <w:t xml:space="preserve"> 3c</w:t>
      </w:r>
      <w:r w:rsidRPr="006C5B12">
        <w:rPr>
          <w:lang w:val="en-GB"/>
        </w:rPr>
        <w:t xml:space="preserve">: </w:t>
      </w:r>
      <w:r w:rsidR="00DD05A9">
        <w:rPr>
          <w:lang w:val="en-GB"/>
        </w:rPr>
        <w:t>E</w:t>
      </w:r>
      <w:r w:rsidR="005A6A23">
        <w:rPr>
          <w:lang w:val="en-GB"/>
        </w:rPr>
        <w:t xml:space="preserve">stimating and </w:t>
      </w:r>
      <w:r w:rsidR="008F68D8">
        <w:rPr>
          <w:lang w:val="en-GB"/>
        </w:rPr>
        <w:t>e</w:t>
      </w:r>
      <w:r w:rsidR="005A6A23">
        <w:rPr>
          <w:lang w:val="en-GB"/>
        </w:rPr>
        <w:t xml:space="preserve">valuating the </w:t>
      </w:r>
      <w:r w:rsidR="008F68D8">
        <w:rPr>
          <w:lang w:val="en-GB"/>
        </w:rPr>
        <w:t>r</w:t>
      </w:r>
      <w:r w:rsidR="005A6A23">
        <w:rPr>
          <w:lang w:val="en-GB"/>
        </w:rPr>
        <w:t xml:space="preserve">isks </w:t>
      </w:r>
      <w:r w:rsidR="008F68D8">
        <w:rPr>
          <w:lang w:val="en-GB"/>
        </w:rPr>
        <w:t>a</w:t>
      </w:r>
      <w:r w:rsidR="005A6A23">
        <w:rPr>
          <w:lang w:val="en-GB"/>
        </w:rPr>
        <w:t xml:space="preserve">ssociated with, and </w:t>
      </w:r>
      <w:r w:rsidR="008F68D8">
        <w:rPr>
          <w:lang w:val="en-GB"/>
        </w:rPr>
        <w:t>o</w:t>
      </w:r>
      <w:r w:rsidR="005A6A23">
        <w:rPr>
          <w:lang w:val="en-GB"/>
        </w:rPr>
        <w:t xml:space="preserve">ccurring </w:t>
      </w:r>
      <w:r w:rsidR="008F68D8">
        <w:rPr>
          <w:lang w:val="en-GB"/>
        </w:rPr>
        <w:t>d</w:t>
      </w:r>
      <w:r w:rsidR="005A6A23">
        <w:rPr>
          <w:lang w:val="en-GB"/>
        </w:rPr>
        <w:t xml:space="preserve">uring the </w:t>
      </w:r>
      <w:r w:rsidR="008F68D8">
        <w:rPr>
          <w:lang w:val="en-GB"/>
        </w:rPr>
        <w:t>i</w:t>
      </w:r>
      <w:r w:rsidR="005A6A23">
        <w:rPr>
          <w:lang w:val="en-GB"/>
        </w:rPr>
        <w:t xml:space="preserve">ntended </w:t>
      </w:r>
      <w:r w:rsidR="008F68D8">
        <w:rPr>
          <w:lang w:val="en-GB"/>
        </w:rPr>
        <w:t>u</w:t>
      </w:r>
      <w:r w:rsidR="005A6A23">
        <w:rPr>
          <w:lang w:val="en-GB"/>
        </w:rPr>
        <w:t xml:space="preserve">se and </w:t>
      </w:r>
      <w:r w:rsidR="008F68D8">
        <w:rPr>
          <w:lang w:val="en-GB"/>
        </w:rPr>
        <w:t>d</w:t>
      </w:r>
      <w:r w:rsidR="005A6A23">
        <w:rPr>
          <w:lang w:val="en-GB"/>
        </w:rPr>
        <w:t xml:space="preserve">uring </w:t>
      </w:r>
      <w:r w:rsidR="008F68D8">
        <w:rPr>
          <w:lang w:val="en-GB"/>
        </w:rPr>
        <w:t>r</w:t>
      </w:r>
      <w:r w:rsidR="005A6A23">
        <w:rPr>
          <w:lang w:val="en-GB"/>
        </w:rPr>
        <w:t xml:space="preserve">easonably </w:t>
      </w:r>
      <w:r w:rsidR="008F68D8">
        <w:rPr>
          <w:lang w:val="en-GB"/>
        </w:rPr>
        <w:t>f</w:t>
      </w:r>
      <w:r w:rsidR="005A6A23">
        <w:rPr>
          <w:lang w:val="en-GB"/>
        </w:rPr>
        <w:t xml:space="preserve">oreseeable </w:t>
      </w:r>
      <w:r w:rsidR="008F68D8">
        <w:rPr>
          <w:lang w:val="en-GB"/>
        </w:rPr>
        <w:t>m</w:t>
      </w:r>
      <w:r w:rsidR="005A6A23">
        <w:rPr>
          <w:lang w:val="en-GB"/>
        </w:rPr>
        <w:t xml:space="preserve">isuse </w:t>
      </w:r>
      <w:bookmarkEnd w:id="5"/>
    </w:p>
    <w:p w14:paraId="240CC0EE" w14:textId="529F5EB9" w:rsidR="00F03566" w:rsidRPr="006C5B12" w:rsidRDefault="005A6A23" w:rsidP="00242231">
      <w:pPr>
        <w:jc w:val="both"/>
        <w:rPr>
          <w:lang w:val="en-GB"/>
        </w:rPr>
      </w:pPr>
      <w:r w:rsidRPr="005A6A23">
        <w:rPr>
          <w:lang w:val="en-GB"/>
        </w:rPr>
        <w:t xml:space="preserve">As described above, this section of the IVDR refers to </w:t>
      </w:r>
      <w:r w:rsidR="0052144A">
        <w:rPr>
          <w:lang w:val="en-GB"/>
        </w:rPr>
        <w:t>an</w:t>
      </w:r>
      <w:r w:rsidRPr="005A6A23">
        <w:rPr>
          <w:lang w:val="en-GB"/>
        </w:rPr>
        <w:t xml:space="preserve"> assessment of the risks </w:t>
      </w:r>
      <w:r w:rsidR="00DD05A9">
        <w:rPr>
          <w:lang w:val="en-GB"/>
        </w:rPr>
        <w:t>involved in</w:t>
      </w:r>
      <w:r w:rsidRPr="005A6A23">
        <w:rPr>
          <w:lang w:val="en-GB"/>
        </w:rPr>
        <w:t xml:space="preserve"> using the </w:t>
      </w:r>
      <w:r w:rsidR="00DD05A9" w:rsidRPr="005A6A23">
        <w:rPr>
          <w:lang w:val="en-GB"/>
        </w:rPr>
        <w:t xml:space="preserve">optimised </w:t>
      </w:r>
      <w:r>
        <w:rPr>
          <w:lang w:val="en-GB"/>
        </w:rPr>
        <w:t>device</w:t>
      </w:r>
      <w:r w:rsidRPr="005A6A23">
        <w:rPr>
          <w:lang w:val="en-GB"/>
        </w:rPr>
        <w:t xml:space="preserve"> </w:t>
      </w:r>
      <w:r w:rsidR="00DD05A9" w:rsidRPr="005A6A23">
        <w:rPr>
          <w:lang w:val="en-GB"/>
        </w:rPr>
        <w:t>in medical laboratories</w:t>
      </w:r>
      <w:r w:rsidR="00DD05A9">
        <w:rPr>
          <w:lang w:val="en-GB"/>
        </w:rPr>
        <w:t xml:space="preserve"> in accordance with</w:t>
      </w:r>
      <w:r w:rsidRPr="005A6A23">
        <w:rPr>
          <w:lang w:val="en-GB"/>
        </w:rPr>
        <w:t xml:space="preserve"> Section 3b of the IVDR, </w:t>
      </w:r>
      <w:r>
        <w:rPr>
          <w:lang w:val="en-GB"/>
        </w:rPr>
        <w:t>whereby</w:t>
      </w:r>
      <w:r w:rsidR="0052144A">
        <w:rPr>
          <w:lang w:val="en-GB"/>
        </w:rPr>
        <w:t>,</w:t>
      </w:r>
      <w:r>
        <w:rPr>
          <w:lang w:val="en-GB"/>
        </w:rPr>
        <w:t xml:space="preserve"> </w:t>
      </w:r>
      <w:r w:rsidR="0052144A">
        <w:rPr>
          <w:lang w:val="en-GB"/>
        </w:rPr>
        <w:t>in addition to its</w:t>
      </w:r>
      <w:r w:rsidR="0052144A" w:rsidRPr="005A6A23">
        <w:rPr>
          <w:lang w:val="en-GB"/>
        </w:rPr>
        <w:t xml:space="preserve"> intended use</w:t>
      </w:r>
      <w:r w:rsidR="0052144A">
        <w:rPr>
          <w:lang w:val="en-GB"/>
        </w:rPr>
        <w:t>, its</w:t>
      </w:r>
      <w:r w:rsidR="0052144A" w:rsidRPr="005A6A23">
        <w:rPr>
          <w:lang w:val="en-GB"/>
        </w:rPr>
        <w:t xml:space="preserve"> </w:t>
      </w:r>
      <w:r w:rsidRPr="005A6A23">
        <w:rPr>
          <w:lang w:val="en-GB"/>
        </w:rPr>
        <w:t xml:space="preserve">potential misuse </w:t>
      </w:r>
      <w:r>
        <w:rPr>
          <w:lang w:val="en-GB"/>
        </w:rPr>
        <w:t xml:space="preserve">should </w:t>
      </w:r>
      <w:r w:rsidR="0052144A">
        <w:rPr>
          <w:lang w:val="en-GB"/>
        </w:rPr>
        <w:t xml:space="preserve">also </w:t>
      </w:r>
      <w:r>
        <w:rPr>
          <w:lang w:val="en-GB"/>
        </w:rPr>
        <w:t>be anticipated</w:t>
      </w:r>
      <w:r w:rsidRPr="005A6A23">
        <w:rPr>
          <w:lang w:val="en-GB"/>
        </w:rPr>
        <w:t xml:space="preserve">. </w:t>
      </w:r>
    </w:p>
    <w:p w14:paraId="0059750C" w14:textId="27615BD4" w:rsidR="00242231" w:rsidRPr="006C5B12" w:rsidRDefault="005A6A23" w:rsidP="00242231">
      <w:pPr>
        <w:jc w:val="both"/>
        <w:rPr>
          <w:lang w:val="en-GB"/>
        </w:rPr>
      </w:pPr>
      <w:r w:rsidRPr="005A6A23">
        <w:rPr>
          <w:lang w:val="en-GB"/>
        </w:rPr>
        <w:t xml:space="preserve">In general, risk is defined as the combination of the probability </w:t>
      </w:r>
      <w:r w:rsidR="001E4B24">
        <w:rPr>
          <w:lang w:val="en-GB"/>
        </w:rPr>
        <w:t>of occurrence</w:t>
      </w:r>
      <w:r w:rsidRPr="005A6A23">
        <w:rPr>
          <w:lang w:val="en-GB"/>
        </w:rPr>
        <w:t xml:space="preserve"> and the severity of an associated harm. Harm is understood to mean physical injury or damage to the health of people</w:t>
      </w:r>
      <w:r w:rsidR="001E4B24">
        <w:rPr>
          <w:lang w:val="en-GB"/>
        </w:rPr>
        <w:t>,</w:t>
      </w:r>
      <w:r w:rsidRPr="005A6A23">
        <w:rPr>
          <w:lang w:val="en-GB"/>
        </w:rPr>
        <w:t xml:space="preserve"> or damage to goods or the environment (</w:t>
      </w:r>
      <w:r w:rsidR="0052144A">
        <w:rPr>
          <w:lang w:val="en-GB"/>
        </w:rPr>
        <w:t>s</w:t>
      </w:r>
      <w:r w:rsidRPr="005A6A23">
        <w:rPr>
          <w:lang w:val="en-GB"/>
        </w:rPr>
        <w:t>ource: EN ISO 14971)</w:t>
      </w:r>
      <w:r w:rsidR="001E4B24">
        <w:rPr>
          <w:lang w:val="en-GB"/>
        </w:rPr>
        <w:t>.</w:t>
      </w:r>
      <w:r w:rsidR="0014238E">
        <w:rPr>
          <w:lang w:val="en-GB"/>
        </w:rPr>
        <w:t xml:space="preserve"> </w:t>
      </w:r>
    </w:p>
    <w:p w14:paraId="02EBFB5F" w14:textId="563ECAC8" w:rsidR="00242231" w:rsidRPr="006C5B12" w:rsidRDefault="0014238E" w:rsidP="00242231">
      <w:pPr>
        <w:jc w:val="both"/>
        <w:rPr>
          <w:lang w:val="en-GB"/>
        </w:rPr>
      </w:pPr>
      <w:r>
        <w:rPr>
          <w:lang w:val="en-GB"/>
        </w:rPr>
        <w:t>P</w:t>
      </w:r>
      <w:r w:rsidRPr="0014238E">
        <w:rPr>
          <w:lang w:val="en-GB"/>
        </w:rPr>
        <w:t>ossible harm to patient</w:t>
      </w:r>
      <w:r>
        <w:rPr>
          <w:lang w:val="en-GB"/>
        </w:rPr>
        <w:t>s</w:t>
      </w:r>
      <w:r w:rsidRPr="0014238E">
        <w:rPr>
          <w:lang w:val="en-GB"/>
        </w:rPr>
        <w:t xml:space="preserve"> (</w:t>
      </w:r>
      <w:r>
        <w:rPr>
          <w:lang w:val="en-GB"/>
        </w:rPr>
        <w:t xml:space="preserve">which this document </w:t>
      </w:r>
      <w:r w:rsidR="003A22F6">
        <w:rPr>
          <w:lang w:val="en-GB"/>
        </w:rPr>
        <w:t>will limit itself to</w:t>
      </w:r>
      <w:r w:rsidRPr="0014238E">
        <w:rPr>
          <w:lang w:val="en-GB"/>
        </w:rPr>
        <w:t>) caused by the analyses offered in diagnostic laborator</w:t>
      </w:r>
      <w:r>
        <w:rPr>
          <w:lang w:val="en-GB"/>
        </w:rPr>
        <w:t>ies</w:t>
      </w:r>
      <w:r w:rsidRPr="0014238E">
        <w:rPr>
          <w:lang w:val="en-GB"/>
        </w:rPr>
        <w:t xml:space="preserve">, </w:t>
      </w:r>
      <w:r>
        <w:rPr>
          <w:lang w:val="en-GB"/>
        </w:rPr>
        <w:t>includes, but is not limited to the following:</w:t>
      </w:r>
    </w:p>
    <w:p w14:paraId="32170CDC" w14:textId="3EF7DEE5" w:rsidR="00242231" w:rsidRPr="006C5B12" w:rsidRDefault="0014238E" w:rsidP="00242231">
      <w:pPr>
        <w:pStyle w:val="Listenabsatz"/>
        <w:numPr>
          <w:ilvl w:val="0"/>
          <w:numId w:val="21"/>
        </w:numPr>
        <w:jc w:val="both"/>
        <w:rPr>
          <w:lang w:val="en-GB"/>
        </w:rPr>
      </w:pPr>
      <w:r>
        <w:rPr>
          <w:lang w:val="en-GB"/>
        </w:rPr>
        <w:t>delayed treatment</w:t>
      </w:r>
      <w:r w:rsidR="00242231" w:rsidRPr="006C5B12">
        <w:rPr>
          <w:lang w:val="en-GB"/>
        </w:rPr>
        <w:t xml:space="preserve"> </w:t>
      </w:r>
    </w:p>
    <w:p w14:paraId="39550F41" w14:textId="52D16105" w:rsidR="00242231" w:rsidRPr="006C5B12" w:rsidRDefault="001E4B24" w:rsidP="00242231">
      <w:pPr>
        <w:pStyle w:val="Listenabsatz"/>
        <w:numPr>
          <w:ilvl w:val="0"/>
          <w:numId w:val="21"/>
        </w:numPr>
        <w:jc w:val="both"/>
        <w:rPr>
          <w:lang w:val="en-GB"/>
        </w:rPr>
      </w:pPr>
      <w:r>
        <w:rPr>
          <w:lang w:val="en-GB"/>
        </w:rPr>
        <w:t>false</w:t>
      </w:r>
      <w:r w:rsidR="0014238E">
        <w:rPr>
          <w:lang w:val="en-GB"/>
        </w:rPr>
        <w:t xml:space="preserve"> treatment</w:t>
      </w:r>
    </w:p>
    <w:p w14:paraId="0F37052C" w14:textId="45DFC719" w:rsidR="00242231" w:rsidRPr="006C5B12" w:rsidRDefault="0014238E" w:rsidP="00242231">
      <w:pPr>
        <w:pStyle w:val="Listenabsatz"/>
        <w:numPr>
          <w:ilvl w:val="0"/>
          <w:numId w:val="21"/>
        </w:numPr>
        <w:jc w:val="both"/>
        <w:rPr>
          <w:lang w:val="en-GB"/>
        </w:rPr>
      </w:pPr>
      <w:r>
        <w:rPr>
          <w:lang w:val="en-GB"/>
        </w:rPr>
        <w:t>re</w:t>
      </w:r>
      <w:r w:rsidR="001E4B24">
        <w:rPr>
          <w:lang w:val="en-GB"/>
        </w:rPr>
        <w:t xml:space="preserve">newed sample </w:t>
      </w:r>
      <w:r w:rsidR="00FC5DCA">
        <w:rPr>
          <w:lang w:val="en-GB"/>
        </w:rPr>
        <w:t xml:space="preserve">taking </w:t>
      </w:r>
    </w:p>
    <w:p w14:paraId="74409149" w14:textId="45481C69" w:rsidR="00F03566" w:rsidRPr="006C5B12" w:rsidRDefault="00FC5DCA" w:rsidP="00242231">
      <w:pPr>
        <w:pStyle w:val="Listenabsatz"/>
        <w:numPr>
          <w:ilvl w:val="0"/>
          <w:numId w:val="21"/>
        </w:numPr>
        <w:jc w:val="both"/>
        <w:rPr>
          <w:lang w:val="en-GB"/>
        </w:rPr>
      </w:pPr>
      <w:r>
        <w:rPr>
          <w:lang w:val="en-GB"/>
        </w:rPr>
        <w:t xml:space="preserve">unnecessary follow-up testing </w:t>
      </w:r>
    </w:p>
    <w:p w14:paraId="414B43BA" w14:textId="6AA3659C" w:rsidR="00F03566" w:rsidRPr="006C5B12" w:rsidRDefault="00F03566" w:rsidP="00242231">
      <w:pPr>
        <w:pStyle w:val="Listenabsatz"/>
        <w:numPr>
          <w:ilvl w:val="0"/>
          <w:numId w:val="21"/>
        </w:numPr>
        <w:jc w:val="both"/>
        <w:rPr>
          <w:lang w:val="en-GB"/>
        </w:rPr>
      </w:pPr>
      <w:r w:rsidRPr="006C5B12">
        <w:rPr>
          <w:lang w:val="en-GB"/>
        </w:rPr>
        <w:t>…</w:t>
      </w:r>
    </w:p>
    <w:p w14:paraId="79570117" w14:textId="06E0F5B6" w:rsidR="004A7475" w:rsidRPr="006C5B12" w:rsidRDefault="00FC5DCA" w:rsidP="00242231">
      <w:pPr>
        <w:jc w:val="both"/>
        <w:rPr>
          <w:lang w:val="en-GB"/>
        </w:rPr>
      </w:pPr>
      <w:r w:rsidRPr="00FC5DCA">
        <w:rPr>
          <w:lang w:val="en-GB"/>
        </w:rPr>
        <w:t xml:space="preserve">Depending on the in-house IVD or </w:t>
      </w:r>
      <w:r w:rsidR="003A22F6">
        <w:rPr>
          <w:lang w:val="en-GB"/>
        </w:rPr>
        <w:t>a</w:t>
      </w:r>
      <w:r w:rsidRPr="00FC5DCA">
        <w:rPr>
          <w:lang w:val="en-GB"/>
        </w:rPr>
        <w:t xml:space="preserve"> corresponding generic </w:t>
      </w:r>
      <w:r>
        <w:rPr>
          <w:lang w:val="en-GB"/>
        </w:rPr>
        <w:t>device</w:t>
      </w:r>
      <w:r w:rsidRPr="00FC5DCA">
        <w:rPr>
          <w:lang w:val="en-GB"/>
        </w:rPr>
        <w:t xml:space="preserve"> group, there are different </w:t>
      </w:r>
      <w:r>
        <w:rPr>
          <w:lang w:val="en-GB"/>
        </w:rPr>
        <w:t>causal chains</w:t>
      </w:r>
      <w:r w:rsidRPr="00FC5DCA">
        <w:rPr>
          <w:lang w:val="en-GB"/>
        </w:rPr>
        <w:t xml:space="preserve"> for each of these </w:t>
      </w:r>
      <w:r>
        <w:rPr>
          <w:lang w:val="en-GB"/>
        </w:rPr>
        <w:t>harms</w:t>
      </w:r>
      <w:r w:rsidRPr="00FC5DCA">
        <w:rPr>
          <w:lang w:val="en-GB"/>
        </w:rPr>
        <w:t xml:space="preserve"> which can lead to different hazard</w:t>
      </w:r>
      <w:r>
        <w:rPr>
          <w:lang w:val="en-GB"/>
        </w:rPr>
        <w:t>ous</w:t>
      </w:r>
      <w:r w:rsidRPr="00FC5DCA">
        <w:rPr>
          <w:lang w:val="en-GB"/>
        </w:rPr>
        <w:t xml:space="preserve"> situations and ultimately to one of the </w:t>
      </w:r>
      <w:r>
        <w:rPr>
          <w:lang w:val="en-GB"/>
        </w:rPr>
        <w:t>harms</w:t>
      </w:r>
      <w:r w:rsidRPr="00FC5DCA">
        <w:rPr>
          <w:lang w:val="en-GB"/>
        </w:rPr>
        <w:t xml:space="preserve"> listed above. In the context of </w:t>
      </w:r>
      <w:r>
        <w:rPr>
          <w:lang w:val="en-GB"/>
        </w:rPr>
        <w:t xml:space="preserve">a </w:t>
      </w:r>
      <w:r w:rsidRPr="00FC5DCA">
        <w:rPr>
          <w:lang w:val="en-GB"/>
        </w:rPr>
        <w:t xml:space="preserve">risk analysis and </w:t>
      </w:r>
      <w:r w:rsidR="006F4234">
        <w:rPr>
          <w:lang w:val="en-GB"/>
        </w:rPr>
        <w:t xml:space="preserve">risk </w:t>
      </w:r>
      <w:r w:rsidRPr="00FC5DCA">
        <w:rPr>
          <w:lang w:val="en-GB"/>
        </w:rPr>
        <w:t>assessment, it is important to bear in mind that the severity of the potential harm, and thus ultimately the risk assessment, primarily depend</w:t>
      </w:r>
      <w:r w:rsidR="006F4234">
        <w:rPr>
          <w:lang w:val="en-GB"/>
        </w:rPr>
        <w:t>s</w:t>
      </w:r>
      <w:r w:rsidRPr="00FC5DCA">
        <w:rPr>
          <w:lang w:val="en-GB"/>
        </w:rPr>
        <w:t xml:space="preserve"> on the clinical significance of the </w:t>
      </w:r>
      <w:r w:rsidR="006F4234">
        <w:rPr>
          <w:lang w:val="en-GB"/>
        </w:rPr>
        <w:t>analyte</w:t>
      </w:r>
      <w:r w:rsidRPr="00FC5DCA">
        <w:rPr>
          <w:lang w:val="en-GB"/>
        </w:rPr>
        <w:t xml:space="preserve"> under investigation and less on the </w:t>
      </w:r>
      <w:r>
        <w:rPr>
          <w:lang w:val="en-GB"/>
        </w:rPr>
        <w:t>causal chain</w:t>
      </w:r>
      <w:r w:rsidRPr="00FC5DCA">
        <w:rPr>
          <w:lang w:val="en-GB"/>
        </w:rPr>
        <w:t xml:space="preserve"> triggering the hazardous situation. </w:t>
      </w:r>
      <w:r w:rsidR="0097732C" w:rsidRPr="0097732C">
        <w:rPr>
          <w:lang w:val="en-GB"/>
        </w:rPr>
        <w:t xml:space="preserve">This will be illustrated in </w:t>
      </w:r>
      <w:r w:rsidR="0097732C" w:rsidRPr="0097732C">
        <w:rPr>
          <w:b/>
          <w:bCs/>
          <w:lang w:val="en-GB"/>
        </w:rPr>
        <w:t>Annex 4</w:t>
      </w:r>
      <w:r w:rsidR="0097732C" w:rsidRPr="0097732C">
        <w:rPr>
          <w:lang w:val="en-GB"/>
        </w:rPr>
        <w:t xml:space="preserve"> </w:t>
      </w:r>
      <w:r w:rsidR="00B62D66">
        <w:rPr>
          <w:lang w:val="en-GB"/>
        </w:rPr>
        <w:t>by way of</w:t>
      </w:r>
      <w:r w:rsidR="0097732C" w:rsidRPr="0097732C">
        <w:rPr>
          <w:lang w:val="en-GB"/>
        </w:rPr>
        <w:t xml:space="preserve"> </w:t>
      </w:r>
      <w:r w:rsidR="00E85C0D">
        <w:rPr>
          <w:lang w:val="en-GB"/>
        </w:rPr>
        <w:t>a</w:t>
      </w:r>
      <w:r w:rsidR="0097732C" w:rsidRPr="0097732C">
        <w:rPr>
          <w:lang w:val="en-GB"/>
        </w:rPr>
        <w:t xml:space="preserve"> risk analysis of a generic </w:t>
      </w:r>
      <w:r w:rsidR="0097732C">
        <w:rPr>
          <w:lang w:val="en-GB"/>
        </w:rPr>
        <w:t>device</w:t>
      </w:r>
      <w:r w:rsidR="0097732C" w:rsidRPr="0097732C">
        <w:rPr>
          <w:lang w:val="en-GB"/>
        </w:rPr>
        <w:t xml:space="preserve"> group of </w:t>
      </w:r>
      <w:r w:rsidR="0097732C">
        <w:rPr>
          <w:lang w:val="en-GB"/>
        </w:rPr>
        <w:t>i</w:t>
      </w:r>
      <w:r w:rsidR="0097732C" w:rsidRPr="0097732C">
        <w:rPr>
          <w:lang w:val="en-GB"/>
        </w:rPr>
        <w:t>n-</w:t>
      </w:r>
      <w:r w:rsidR="0097732C">
        <w:rPr>
          <w:lang w:val="en-GB"/>
        </w:rPr>
        <w:t>h</w:t>
      </w:r>
      <w:r w:rsidR="0097732C" w:rsidRPr="0097732C">
        <w:rPr>
          <w:lang w:val="en-GB"/>
        </w:rPr>
        <w:t>ouse IVD</w:t>
      </w:r>
      <w:r w:rsidR="0097732C">
        <w:rPr>
          <w:lang w:val="en-GB"/>
        </w:rPr>
        <w:t>s</w:t>
      </w:r>
      <w:r w:rsidR="0097732C" w:rsidRPr="0097732C">
        <w:rPr>
          <w:lang w:val="en-GB"/>
        </w:rPr>
        <w:t>.</w:t>
      </w:r>
      <w:r w:rsidR="00A36181" w:rsidRPr="006C5B12">
        <w:rPr>
          <w:lang w:val="en-GB"/>
        </w:rPr>
        <w:t xml:space="preserve"> </w:t>
      </w:r>
    </w:p>
    <w:p w14:paraId="5DE1A018" w14:textId="77777777" w:rsidR="00D93696" w:rsidRPr="006C5B12" w:rsidRDefault="00D93696" w:rsidP="00242231">
      <w:pPr>
        <w:jc w:val="both"/>
        <w:rPr>
          <w:lang w:val="en-GB"/>
        </w:rPr>
      </w:pPr>
    </w:p>
    <w:p w14:paraId="1618B814" w14:textId="402F8E36" w:rsidR="002614D9" w:rsidRPr="006C5B12" w:rsidRDefault="002614D9" w:rsidP="00F4147C">
      <w:pPr>
        <w:pStyle w:val="berschrift2"/>
        <w:rPr>
          <w:lang w:val="en-GB"/>
        </w:rPr>
      </w:pPr>
      <w:bookmarkStart w:id="6" w:name="_Ref71886655"/>
      <w:r w:rsidRPr="006C5B12">
        <w:rPr>
          <w:lang w:val="en-GB"/>
        </w:rPr>
        <w:t>An</w:t>
      </w:r>
      <w:r w:rsidR="0097732C">
        <w:rPr>
          <w:lang w:val="en-GB"/>
        </w:rPr>
        <w:t>nex</w:t>
      </w:r>
      <w:r w:rsidRPr="006C5B12">
        <w:rPr>
          <w:lang w:val="en-GB"/>
        </w:rPr>
        <w:t xml:space="preserve"> I, </w:t>
      </w:r>
      <w:r w:rsidR="0097732C">
        <w:rPr>
          <w:lang w:val="en-GB"/>
        </w:rPr>
        <w:t>Chapter</w:t>
      </w:r>
      <w:r w:rsidRPr="006C5B12">
        <w:rPr>
          <w:lang w:val="en-GB"/>
        </w:rPr>
        <w:t xml:space="preserve"> I, </w:t>
      </w:r>
      <w:r w:rsidR="0097732C">
        <w:rPr>
          <w:b/>
          <w:lang w:val="en-GB"/>
        </w:rPr>
        <w:t>Section</w:t>
      </w:r>
      <w:r w:rsidRPr="006C5B12">
        <w:rPr>
          <w:b/>
          <w:lang w:val="en-GB"/>
        </w:rPr>
        <w:t xml:space="preserve"> 3d</w:t>
      </w:r>
      <w:r w:rsidRPr="006C5B12">
        <w:rPr>
          <w:lang w:val="en-GB"/>
        </w:rPr>
        <w:t xml:space="preserve">: </w:t>
      </w:r>
      <w:r w:rsidR="001E4B24">
        <w:rPr>
          <w:lang w:val="en-GB"/>
        </w:rPr>
        <w:t>E</w:t>
      </w:r>
      <w:r w:rsidR="0097732C">
        <w:rPr>
          <w:lang w:val="en-GB"/>
        </w:rPr>
        <w:t xml:space="preserve">liminating or </w:t>
      </w:r>
      <w:r w:rsidR="008F68D8">
        <w:rPr>
          <w:lang w:val="en-GB"/>
        </w:rPr>
        <w:t>c</w:t>
      </w:r>
      <w:r w:rsidR="0097732C">
        <w:rPr>
          <w:lang w:val="en-GB"/>
        </w:rPr>
        <w:t xml:space="preserve">ontrolling the </w:t>
      </w:r>
      <w:r w:rsidR="008F68D8">
        <w:rPr>
          <w:lang w:val="en-GB"/>
        </w:rPr>
        <w:t>r</w:t>
      </w:r>
      <w:r w:rsidR="0097732C">
        <w:rPr>
          <w:lang w:val="en-GB"/>
        </w:rPr>
        <w:t xml:space="preserve">isks </w:t>
      </w:r>
      <w:r w:rsidR="008F68D8">
        <w:rPr>
          <w:lang w:val="en-GB"/>
        </w:rPr>
        <w:t>r</w:t>
      </w:r>
      <w:r w:rsidR="0097732C">
        <w:rPr>
          <w:lang w:val="en-GB"/>
        </w:rPr>
        <w:t xml:space="preserve">eferred to in </w:t>
      </w:r>
      <w:r w:rsidR="00B16BEC">
        <w:rPr>
          <w:lang w:val="en-GB"/>
        </w:rPr>
        <w:t>p</w:t>
      </w:r>
      <w:r w:rsidR="0097732C">
        <w:rPr>
          <w:lang w:val="en-GB"/>
        </w:rPr>
        <w:t xml:space="preserve">oint c (see Section 3c above) in </w:t>
      </w:r>
      <w:r w:rsidR="008F68D8">
        <w:rPr>
          <w:lang w:val="en-GB"/>
        </w:rPr>
        <w:t>a</w:t>
      </w:r>
      <w:r w:rsidR="0097732C">
        <w:rPr>
          <w:lang w:val="en-GB"/>
        </w:rPr>
        <w:t xml:space="preserve">ccordance with the </w:t>
      </w:r>
      <w:r w:rsidR="008F68D8">
        <w:rPr>
          <w:lang w:val="en-GB"/>
        </w:rPr>
        <w:t>r</w:t>
      </w:r>
      <w:r w:rsidR="0097732C">
        <w:rPr>
          <w:lang w:val="en-GB"/>
        </w:rPr>
        <w:t xml:space="preserve">equirements of Annex I, Chapter I, Section 4 of the IVDR </w:t>
      </w:r>
      <w:bookmarkEnd w:id="6"/>
    </w:p>
    <w:p w14:paraId="6922013A" w14:textId="42A93755" w:rsidR="00B959D3" w:rsidRPr="006C5B12" w:rsidRDefault="0097732C" w:rsidP="002614D9">
      <w:pPr>
        <w:jc w:val="both"/>
        <w:rPr>
          <w:iCs/>
          <w:lang w:val="en-GB"/>
        </w:rPr>
      </w:pPr>
      <w:r w:rsidRPr="0097732C">
        <w:rPr>
          <w:iCs/>
          <w:lang w:val="en-GB"/>
        </w:rPr>
        <w:t xml:space="preserve">Annex I, Chapter I, Section 4 </w:t>
      </w:r>
      <w:r>
        <w:rPr>
          <w:iCs/>
          <w:lang w:val="en-GB"/>
        </w:rPr>
        <w:t xml:space="preserve">of </w:t>
      </w:r>
      <w:r w:rsidRPr="0097732C">
        <w:rPr>
          <w:iCs/>
          <w:lang w:val="en-GB"/>
        </w:rPr>
        <w:t xml:space="preserve">the IVDR gives clear </w:t>
      </w:r>
      <w:r w:rsidR="00B16BEC">
        <w:rPr>
          <w:iCs/>
          <w:lang w:val="en-GB"/>
        </w:rPr>
        <w:t>guidance</w:t>
      </w:r>
      <w:r w:rsidRPr="0097732C">
        <w:rPr>
          <w:iCs/>
          <w:lang w:val="en-GB"/>
        </w:rPr>
        <w:t xml:space="preserve"> on how possible risks should be </w:t>
      </w:r>
      <w:r>
        <w:rPr>
          <w:iCs/>
          <w:lang w:val="en-GB"/>
        </w:rPr>
        <w:t>eliminated</w:t>
      </w:r>
      <w:r w:rsidRPr="0097732C">
        <w:rPr>
          <w:iCs/>
          <w:lang w:val="en-GB"/>
        </w:rPr>
        <w:t xml:space="preserve"> and controlled as </w:t>
      </w:r>
      <w:r w:rsidR="000E0C7E">
        <w:rPr>
          <w:iCs/>
          <w:lang w:val="en-GB"/>
        </w:rPr>
        <w:t>much</w:t>
      </w:r>
      <w:r w:rsidRPr="0097732C">
        <w:rPr>
          <w:iCs/>
          <w:lang w:val="en-GB"/>
        </w:rPr>
        <w:t xml:space="preserve"> as possible in advance (see Table 4). It should be noted that points a) to d) listed here were already addressed as part of the development of the in-house IVD (</w:t>
      </w:r>
      <w:r w:rsidR="002F5341">
        <w:rPr>
          <w:iCs/>
          <w:lang w:val="en-GB"/>
        </w:rPr>
        <w:t>see</w:t>
      </w:r>
      <w:r w:rsidRPr="0097732C">
        <w:rPr>
          <w:iCs/>
          <w:lang w:val="en-GB"/>
        </w:rPr>
        <w:t xml:space="preserve"> </w:t>
      </w:r>
      <w:r w:rsidR="00C9182D">
        <w:rPr>
          <w:iCs/>
          <w:lang w:val="en-GB"/>
        </w:rPr>
        <w:t>Point</w:t>
      </w:r>
      <w:r w:rsidRPr="0097732C">
        <w:rPr>
          <w:iCs/>
          <w:lang w:val="en-GB"/>
        </w:rPr>
        <w:t xml:space="preserve"> 2.2) or in the course of the preventive measures listed under </w:t>
      </w:r>
      <w:r w:rsidR="00C9182D">
        <w:rPr>
          <w:iCs/>
          <w:lang w:val="en-GB"/>
        </w:rPr>
        <w:t>Point</w:t>
      </w:r>
      <w:r w:rsidRPr="0097732C">
        <w:rPr>
          <w:iCs/>
          <w:lang w:val="en-GB"/>
        </w:rPr>
        <w:t xml:space="preserve"> 3.3. </w:t>
      </w:r>
      <w:r w:rsidR="001E4B24">
        <w:rPr>
          <w:iCs/>
          <w:lang w:val="en-GB"/>
        </w:rPr>
        <w:t>R</w:t>
      </w:r>
      <w:r w:rsidR="000E0C7E" w:rsidRPr="000E0C7E">
        <w:rPr>
          <w:iCs/>
          <w:lang w:val="en-GB"/>
        </w:rPr>
        <w:t>eference shall</w:t>
      </w:r>
      <w:r w:rsidR="001E4B24">
        <w:rPr>
          <w:iCs/>
          <w:lang w:val="en-GB"/>
        </w:rPr>
        <w:t xml:space="preserve"> also</w:t>
      </w:r>
      <w:r w:rsidR="000E0C7E" w:rsidRPr="000E0C7E">
        <w:rPr>
          <w:iCs/>
          <w:lang w:val="en-GB"/>
        </w:rPr>
        <w:t xml:space="preserve"> be made here to </w:t>
      </w:r>
      <w:r w:rsidR="000E0C7E">
        <w:rPr>
          <w:iCs/>
          <w:lang w:val="en-GB"/>
        </w:rPr>
        <w:t>S</w:t>
      </w:r>
      <w:r w:rsidR="000E0C7E" w:rsidRPr="000E0C7E">
        <w:rPr>
          <w:iCs/>
          <w:lang w:val="en-GB"/>
        </w:rPr>
        <w:t xml:space="preserve">ection 7 </w:t>
      </w:r>
      <w:r w:rsidR="00B16BEC">
        <w:rPr>
          <w:iCs/>
          <w:lang w:val="en-GB"/>
        </w:rPr>
        <w:t>and</w:t>
      </w:r>
      <w:r w:rsidR="000E0C7E" w:rsidRPr="000E0C7E">
        <w:rPr>
          <w:iCs/>
          <w:lang w:val="en-GB"/>
        </w:rPr>
        <w:t xml:space="preserve"> Annex G</w:t>
      </w:r>
      <w:r w:rsidR="001E4B24">
        <w:rPr>
          <w:iCs/>
          <w:lang w:val="en-GB"/>
        </w:rPr>
        <w:t xml:space="preserve"> of</w:t>
      </w:r>
      <w:r w:rsidR="000E0C7E" w:rsidRPr="000E0C7E">
        <w:rPr>
          <w:iCs/>
          <w:lang w:val="en-GB"/>
        </w:rPr>
        <w:t xml:space="preserve"> </w:t>
      </w:r>
      <w:r w:rsidR="001E4B24" w:rsidRPr="000E0C7E">
        <w:rPr>
          <w:iCs/>
          <w:lang w:val="en-GB"/>
        </w:rPr>
        <w:t>EN ISO 22367:2020</w:t>
      </w:r>
    </w:p>
    <w:p w14:paraId="691BEFE7" w14:textId="665F14C4" w:rsidR="006C09AA" w:rsidRPr="006C5B12" w:rsidRDefault="006C09AA" w:rsidP="006525DE">
      <w:pPr>
        <w:pStyle w:val="Beschriftung"/>
        <w:rPr>
          <w:u w:val="single"/>
          <w:lang w:val="en-GB"/>
        </w:rPr>
      </w:pPr>
      <w:bookmarkStart w:id="7" w:name="_Ref70598714"/>
      <w:bookmarkStart w:id="8" w:name="_Ref70598720"/>
      <w:r w:rsidRPr="006C5B12">
        <w:rPr>
          <w:lang w:val="en-GB"/>
        </w:rPr>
        <w:t xml:space="preserve">Table </w:t>
      </w:r>
      <w:r w:rsidR="00F80F8D" w:rsidRPr="006C5B12">
        <w:rPr>
          <w:noProof/>
          <w:lang w:val="en-GB"/>
        </w:rPr>
        <w:fldChar w:fldCharType="begin"/>
      </w:r>
      <w:r w:rsidR="00F80F8D" w:rsidRPr="006C5B12">
        <w:rPr>
          <w:noProof/>
          <w:lang w:val="en-GB"/>
        </w:rPr>
        <w:instrText xml:space="preserve"> SEQ Tabelle \* ARABIC </w:instrText>
      </w:r>
      <w:r w:rsidR="00F80F8D" w:rsidRPr="006C5B12">
        <w:rPr>
          <w:noProof/>
          <w:lang w:val="en-GB"/>
        </w:rPr>
        <w:fldChar w:fldCharType="separate"/>
      </w:r>
      <w:r w:rsidR="00087CA3" w:rsidRPr="006C5B12">
        <w:rPr>
          <w:noProof/>
          <w:lang w:val="en-GB"/>
        </w:rPr>
        <w:t>4</w:t>
      </w:r>
      <w:r w:rsidR="00F80F8D" w:rsidRPr="006C5B12">
        <w:rPr>
          <w:noProof/>
          <w:lang w:val="en-GB"/>
        </w:rPr>
        <w:fldChar w:fldCharType="end"/>
      </w:r>
      <w:bookmarkEnd w:id="7"/>
      <w:r w:rsidRPr="006C5B12">
        <w:rPr>
          <w:lang w:val="en-GB"/>
        </w:rPr>
        <w:t xml:space="preserve"> IVDR - An</w:t>
      </w:r>
      <w:r w:rsidR="000E0C7E">
        <w:rPr>
          <w:lang w:val="en-GB"/>
        </w:rPr>
        <w:t>nex</w:t>
      </w:r>
      <w:r w:rsidRPr="006C5B12">
        <w:rPr>
          <w:lang w:val="en-GB"/>
        </w:rPr>
        <w:t xml:space="preserve"> I, </w:t>
      </w:r>
      <w:r w:rsidR="000E0C7E">
        <w:rPr>
          <w:lang w:val="en-GB"/>
        </w:rPr>
        <w:t>Chapter</w:t>
      </w:r>
      <w:r w:rsidRPr="006C5B12">
        <w:rPr>
          <w:lang w:val="en-GB"/>
        </w:rPr>
        <w:t xml:space="preserve"> </w:t>
      </w:r>
      <w:r w:rsidR="00087CA3" w:rsidRPr="006C5B12">
        <w:rPr>
          <w:lang w:val="en-GB"/>
        </w:rPr>
        <w:t>I</w:t>
      </w:r>
      <w:r w:rsidRPr="006C5B12">
        <w:rPr>
          <w:lang w:val="en-GB"/>
        </w:rPr>
        <w:t xml:space="preserve">, </w:t>
      </w:r>
      <w:r w:rsidR="000E0C7E">
        <w:rPr>
          <w:lang w:val="en-GB"/>
        </w:rPr>
        <w:t>Section</w:t>
      </w:r>
      <w:r w:rsidRPr="006C5B12">
        <w:rPr>
          <w:lang w:val="en-GB"/>
        </w:rPr>
        <w:t xml:space="preserve"> 4</w:t>
      </w:r>
      <w:bookmarkEnd w:id="8"/>
    </w:p>
    <w:tbl>
      <w:tblPr>
        <w:tblW w:w="9062" w:type="dxa"/>
        <w:tblLook w:val="04A0" w:firstRow="1" w:lastRow="0" w:firstColumn="1" w:lastColumn="0" w:noHBand="0" w:noVBand="1"/>
      </w:tblPr>
      <w:tblGrid>
        <w:gridCol w:w="1271"/>
        <w:gridCol w:w="7791"/>
      </w:tblGrid>
      <w:tr w:rsidR="000912C3" w:rsidRPr="006C5B12" w14:paraId="70781584" w14:textId="77777777" w:rsidTr="001728E7">
        <w:trPr>
          <w:trHeight w:val="318"/>
        </w:trPr>
        <w:tc>
          <w:tcPr>
            <w:tcW w:w="906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E1616DE" w14:textId="77777777" w:rsidR="000912C3" w:rsidRPr="006C5B12" w:rsidRDefault="000912C3" w:rsidP="001728E7">
            <w:pPr>
              <w:pStyle w:val="Default"/>
              <w:spacing w:after="60"/>
              <w:jc w:val="both"/>
              <w:rPr>
                <w:rFonts w:asciiTheme="minorHAnsi" w:hAnsiTheme="minorHAnsi" w:cstheme="minorBidi"/>
                <w:b/>
                <w:bCs/>
                <w:i/>
                <w:color w:val="auto"/>
                <w:sz w:val="20"/>
                <w:szCs w:val="20"/>
              </w:rPr>
            </w:pPr>
            <w:r w:rsidRPr="006C5B12">
              <w:rPr>
                <w:rFonts w:asciiTheme="minorHAnsi" w:hAnsiTheme="minorHAnsi" w:cstheme="minorBidi"/>
                <w:b/>
                <w:bCs/>
                <w:i/>
                <w:color w:val="auto"/>
                <w:sz w:val="20"/>
                <w:szCs w:val="20"/>
              </w:rPr>
              <w:t>IVDR</w:t>
            </w:r>
          </w:p>
        </w:tc>
      </w:tr>
      <w:tr w:rsidR="000912C3" w:rsidRPr="006C5B12" w14:paraId="03182F0F" w14:textId="77777777" w:rsidTr="001728E7">
        <w:trPr>
          <w:trHeight w:val="280"/>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tcPr>
          <w:p w14:paraId="762BDB00" w14:textId="2D761741" w:rsidR="000912C3" w:rsidRPr="006C5B12" w:rsidRDefault="00740B91">
            <w:pPr>
              <w:pStyle w:val="Default"/>
              <w:spacing w:after="60"/>
              <w:rPr>
                <w:rFonts w:asciiTheme="minorHAnsi" w:hAnsiTheme="minorHAnsi" w:cstheme="minorBidi"/>
                <w:i/>
                <w:color w:val="auto"/>
                <w:sz w:val="20"/>
                <w:szCs w:val="20"/>
              </w:rPr>
            </w:pPr>
            <w:r w:rsidRPr="006C5B12">
              <w:rPr>
                <w:rFonts w:asciiTheme="minorHAnsi" w:hAnsiTheme="minorHAnsi" w:cstheme="minorBidi"/>
                <w:i/>
                <w:color w:val="auto"/>
                <w:sz w:val="20"/>
                <w:szCs w:val="20"/>
              </w:rPr>
              <w:lastRenderedPageBreak/>
              <w:t>An</w:t>
            </w:r>
            <w:r w:rsidR="000E0C7E">
              <w:rPr>
                <w:rFonts w:asciiTheme="minorHAnsi" w:hAnsiTheme="minorHAnsi" w:cstheme="minorBidi"/>
                <w:i/>
                <w:color w:val="auto"/>
                <w:sz w:val="20"/>
                <w:szCs w:val="20"/>
              </w:rPr>
              <w:t>nex</w:t>
            </w:r>
            <w:r w:rsidRPr="006C5B12">
              <w:rPr>
                <w:rFonts w:asciiTheme="minorHAnsi" w:hAnsiTheme="minorHAnsi" w:cstheme="minorBidi"/>
                <w:i/>
                <w:color w:val="auto"/>
                <w:sz w:val="20"/>
                <w:szCs w:val="20"/>
              </w:rPr>
              <w:t xml:space="preserve"> I </w:t>
            </w:r>
          </w:p>
          <w:p w14:paraId="49DE651C" w14:textId="5DCB2EA7" w:rsidR="0028772E" w:rsidRPr="006C5B12" w:rsidRDefault="000E0C7E" w:rsidP="006525DE">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Chapter</w:t>
            </w:r>
            <w:r w:rsidR="0028772E" w:rsidRPr="006C5B12">
              <w:rPr>
                <w:rFonts w:asciiTheme="minorHAnsi" w:hAnsiTheme="minorHAnsi" w:cstheme="minorBidi"/>
                <w:i/>
                <w:color w:val="auto"/>
                <w:sz w:val="20"/>
                <w:szCs w:val="20"/>
              </w:rPr>
              <w:t xml:space="preserve"> </w:t>
            </w:r>
            <w:r w:rsidR="00087CA3" w:rsidRPr="006C5B12">
              <w:rPr>
                <w:rFonts w:asciiTheme="minorHAnsi" w:hAnsiTheme="minorHAnsi" w:cstheme="minorBidi"/>
                <w:i/>
                <w:color w:val="auto"/>
                <w:sz w:val="20"/>
                <w:szCs w:val="20"/>
              </w:rPr>
              <w:t>I</w:t>
            </w:r>
          </w:p>
        </w:tc>
        <w:tc>
          <w:tcPr>
            <w:tcW w:w="7791" w:type="dxa"/>
            <w:tcBorders>
              <w:top w:val="single" w:sz="4" w:space="0" w:color="auto"/>
              <w:left w:val="single" w:sz="4" w:space="0" w:color="auto"/>
              <w:bottom w:val="single" w:sz="4" w:space="0" w:color="auto"/>
              <w:right w:val="single" w:sz="4" w:space="0" w:color="auto"/>
            </w:tcBorders>
            <w:shd w:val="clear" w:color="auto" w:fill="E7E6E6" w:themeFill="background2"/>
          </w:tcPr>
          <w:p w14:paraId="73D9BC42" w14:textId="77777777" w:rsidR="000912C3" w:rsidRPr="006C5B12" w:rsidRDefault="000912C3" w:rsidP="001728E7">
            <w:pPr>
              <w:pStyle w:val="Default"/>
              <w:spacing w:after="60"/>
              <w:jc w:val="both"/>
              <w:rPr>
                <w:rFonts w:asciiTheme="minorHAnsi" w:hAnsiTheme="minorHAnsi" w:cstheme="minorBidi"/>
                <w:i/>
                <w:color w:val="auto"/>
                <w:sz w:val="20"/>
                <w:szCs w:val="20"/>
              </w:rPr>
            </w:pPr>
          </w:p>
        </w:tc>
      </w:tr>
      <w:tr w:rsidR="000912C3" w:rsidRPr="00D02B35" w14:paraId="77BB8075" w14:textId="77777777" w:rsidTr="000E0C7E">
        <w:trPr>
          <w:trHeight w:val="1318"/>
        </w:trPr>
        <w:tc>
          <w:tcPr>
            <w:tcW w:w="1271" w:type="dxa"/>
            <w:tcBorders>
              <w:top w:val="single" w:sz="4" w:space="0" w:color="auto"/>
              <w:left w:val="single" w:sz="4" w:space="0" w:color="auto"/>
              <w:bottom w:val="single" w:sz="4" w:space="0" w:color="auto"/>
              <w:right w:val="single" w:sz="4" w:space="0" w:color="auto"/>
            </w:tcBorders>
          </w:tcPr>
          <w:p w14:paraId="51D20852" w14:textId="2187DEB2" w:rsidR="000912C3" w:rsidRPr="006C5B12" w:rsidRDefault="000E0C7E" w:rsidP="006525DE">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0912C3" w:rsidRPr="006C5B12">
              <w:rPr>
                <w:rFonts w:asciiTheme="minorHAnsi" w:hAnsiTheme="minorHAnsi" w:cstheme="minorBidi"/>
                <w:i/>
                <w:color w:val="auto"/>
                <w:sz w:val="20"/>
                <w:szCs w:val="20"/>
              </w:rPr>
              <w:t xml:space="preserve"> 4</w:t>
            </w:r>
          </w:p>
        </w:tc>
        <w:tc>
          <w:tcPr>
            <w:tcW w:w="7791" w:type="dxa"/>
            <w:tcBorders>
              <w:top w:val="single" w:sz="4" w:space="0" w:color="auto"/>
              <w:left w:val="single" w:sz="4" w:space="0" w:color="auto"/>
              <w:bottom w:val="single" w:sz="4" w:space="0" w:color="auto"/>
              <w:right w:val="single" w:sz="4" w:space="0" w:color="auto"/>
            </w:tcBorders>
            <w:shd w:val="clear" w:color="auto" w:fill="auto"/>
            <w:hideMark/>
          </w:tcPr>
          <w:p w14:paraId="019622A3" w14:textId="64706A6C" w:rsidR="000912C3" w:rsidRPr="006C5B12" w:rsidRDefault="000E0C7E" w:rsidP="001728E7">
            <w:pPr>
              <w:pStyle w:val="Default"/>
              <w:spacing w:after="60"/>
              <w:jc w:val="both"/>
              <w:rPr>
                <w:rFonts w:asciiTheme="minorHAnsi" w:hAnsiTheme="minorHAnsi" w:cstheme="minorBidi"/>
                <w:i/>
                <w:color w:val="auto"/>
                <w:sz w:val="20"/>
                <w:szCs w:val="20"/>
              </w:rPr>
            </w:pPr>
            <w:r w:rsidRPr="000E0C7E">
              <w:rPr>
                <w:rFonts w:asciiTheme="minorHAnsi" w:hAnsiTheme="minorHAnsi" w:cstheme="minorBidi"/>
                <w:i/>
                <w:color w:val="auto"/>
                <w:sz w:val="20"/>
                <w:szCs w:val="20"/>
              </w:rPr>
              <w:t xml:space="preserve">Risk control measures adopted by manufacturers for the design and manufacture of the devices shall conform to safety principles, taking account of the generally acknowledged state of the art. To </w:t>
            </w:r>
            <w:r>
              <w:rPr>
                <w:rFonts w:asciiTheme="minorHAnsi" w:hAnsiTheme="minorHAnsi" w:cstheme="minorBidi"/>
                <w:i/>
                <w:color w:val="auto"/>
                <w:sz w:val="20"/>
                <w:szCs w:val="20"/>
              </w:rPr>
              <w:t>minimise</w:t>
            </w:r>
            <w:r w:rsidRPr="000E0C7E">
              <w:rPr>
                <w:rFonts w:asciiTheme="minorHAnsi" w:hAnsiTheme="minorHAnsi" w:cstheme="minorBidi"/>
                <w:i/>
                <w:color w:val="auto"/>
                <w:sz w:val="20"/>
                <w:szCs w:val="20"/>
              </w:rPr>
              <w:t xml:space="preserve"> risks, the manufacturers shall manage risks so that the residual risk associated with each hazard as well as the overall residual risk is </w:t>
            </w:r>
            <w:r>
              <w:rPr>
                <w:rFonts w:asciiTheme="minorHAnsi" w:hAnsiTheme="minorHAnsi" w:cstheme="minorBidi"/>
                <w:i/>
                <w:color w:val="auto"/>
                <w:sz w:val="20"/>
                <w:szCs w:val="20"/>
              </w:rPr>
              <w:t>deemed</w:t>
            </w:r>
            <w:r w:rsidRPr="000E0C7E">
              <w:rPr>
                <w:rFonts w:asciiTheme="minorHAnsi" w:hAnsiTheme="minorHAnsi" w:cstheme="minorBidi"/>
                <w:i/>
                <w:color w:val="auto"/>
                <w:sz w:val="20"/>
                <w:szCs w:val="20"/>
              </w:rPr>
              <w:t xml:space="preserve"> acceptable. In selecting the most appropriate solutions, manufacturers shall, in the following order of priority:</w:t>
            </w:r>
            <w:r>
              <w:rPr>
                <w:rFonts w:asciiTheme="minorHAnsi" w:hAnsiTheme="minorHAnsi" w:cstheme="minorBidi"/>
                <w:i/>
                <w:color w:val="auto"/>
                <w:sz w:val="20"/>
                <w:szCs w:val="20"/>
              </w:rPr>
              <w:t xml:space="preserve"> </w:t>
            </w:r>
          </w:p>
        </w:tc>
      </w:tr>
      <w:tr w:rsidR="000912C3" w:rsidRPr="00D02B35" w14:paraId="104594B4" w14:textId="77777777" w:rsidTr="007E44E4">
        <w:trPr>
          <w:trHeight w:val="272"/>
        </w:trPr>
        <w:tc>
          <w:tcPr>
            <w:tcW w:w="1271" w:type="dxa"/>
            <w:tcBorders>
              <w:top w:val="nil"/>
              <w:left w:val="single" w:sz="4" w:space="0" w:color="auto"/>
              <w:bottom w:val="single" w:sz="4" w:space="0" w:color="auto"/>
              <w:right w:val="single" w:sz="4" w:space="0" w:color="auto"/>
            </w:tcBorders>
          </w:tcPr>
          <w:p w14:paraId="6F3C0003" w14:textId="77777777" w:rsidR="000912C3" w:rsidRPr="006C5B12" w:rsidRDefault="000912C3" w:rsidP="001728E7">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a)</w:t>
            </w:r>
          </w:p>
        </w:tc>
        <w:tc>
          <w:tcPr>
            <w:tcW w:w="7791" w:type="dxa"/>
            <w:tcBorders>
              <w:top w:val="nil"/>
              <w:left w:val="single" w:sz="4" w:space="0" w:color="auto"/>
              <w:bottom w:val="single" w:sz="4" w:space="0" w:color="auto"/>
              <w:right w:val="single" w:sz="4" w:space="0" w:color="auto"/>
            </w:tcBorders>
            <w:shd w:val="clear" w:color="auto" w:fill="auto"/>
            <w:hideMark/>
          </w:tcPr>
          <w:p w14:paraId="6BD9740A" w14:textId="32A5199E" w:rsidR="000912C3" w:rsidRPr="006C5B12" w:rsidRDefault="007E44E4" w:rsidP="001728E7">
            <w:pPr>
              <w:pStyle w:val="Default"/>
              <w:spacing w:after="60"/>
              <w:jc w:val="both"/>
              <w:rPr>
                <w:rFonts w:asciiTheme="minorHAnsi" w:hAnsiTheme="minorHAnsi" w:cstheme="minorBidi"/>
                <w:i/>
                <w:color w:val="auto"/>
                <w:sz w:val="20"/>
                <w:szCs w:val="20"/>
              </w:rPr>
            </w:pPr>
            <w:r w:rsidRPr="007E44E4">
              <w:rPr>
                <w:rFonts w:asciiTheme="minorHAnsi" w:hAnsiTheme="minorHAnsi" w:cstheme="minorBidi"/>
                <w:i/>
                <w:color w:val="auto"/>
                <w:sz w:val="20"/>
                <w:szCs w:val="20"/>
              </w:rPr>
              <w:t>eliminate or reduce risks as far as possible through safe design and manufacture</w:t>
            </w:r>
            <w:r w:rsidR="000912C3" w:rsidRPr="006C5B12">
              <w:rPr>
                <w:rFonts w:asciiTheme="minorHAnsi" w:hAnsiTheme="minorHAnsi" w:cstheme="minorBidi"/>
                <w:i/>
                <w:color w:val="auto"/>
                <w:sz w:val="20"/>
                <w:szCs w:val="20"/>
              </w:rPr>
              <w:t>;</w:t>
            </w:r>
          </w:p>
        </w:tc>
      </w:tr>
      <w:tr w:rsidR="000912C3" w:rsidRPr="00D02B35" w14:paraId="74F9BFB5" w14:textId="77777777" w:rsidTr="001728E7">
        <w:trPr>
          <w:trHeight w:val="564"/>
        </w:trPr>
        <w:tc>
          <w:tcPr>
            <w:tcW w:w="1271" w:type="dxa"/>
            <w:tcBorders>
              <w:top w:val="nil"/>
              <w:left w:val="single" w:sz="4" w:space="0" w:color="auto"/>
              <w:bottom w:val="single" w:sz="4" w:space="0" w:color="auto"/>
              <w:right w:val="single" w:sz="4" w:space="0" w:color="auto"/>
            </w:tcBorders>
          </w:tcPr>
          <w:p w14:paraId="5866749D" w14:textId="77777777" w:rsidR="000912C3" w:rsidRPr="006C5B12" w:rsidRDefault="000912C3" w:rsidP="001728E7">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b)</w:t>
            </w:r>
          </w:p>
        </w:tc>
        <w:tc>
          <w:tcPr>
            <w:tcW w:w="7791" w:type="dxa"/>
            <w:tcBorders>
              <w:top w:val="nil"/>
              <w:left w:val="single" w:sz="4" w:space="0" w:color="auto"/>
              <w:bottom w:val="single" w:sz="4" w:space="0" w:color="auto"/>
              <w:right w:val="single" w:sz="4" w:space="0" w:color="auto"/>
            </w:tcBorders>
            <w:shd w:val="clear" w:color="auto" w:fill="auto"/>
            <w:hideMark/>
          </w:tcPr>
          <w:p w14:paraId="6D947FDA" w14:textId="670DD904" w:rsidR="000912C3" w:rsidRPr="006C5B12" w:rsidRDefault="007E44E4" w:rsidP="001728E7">
            <w:pPr>
              <w:pStyle w:val="Default"/>
              <w:spacing w:after="60"/>
              <w:jc w:val="both"/>
              <w:rPr>
                <w:rFonts w:asciiTheme="minorHAnsi" w:hAnsiTheme="minorHAnsi" w:cstheme="minorBidi"/>
                <w:i/>
                <w:color w:val="auto"/>
                <w:sz w:val="20"/>
                <w:szCs w:val="20"/>
              </w:rPr>
            </w:pPr>
            <w:r w:rsidRPr="007E44E4">
              <w:rPr>
                <w:rFonts w:asciiTheme="minorHAnsi" w:hAnsiTheme="minorHAnsi" w:cstheme="minorBidi"/>
                <w:i/>
                <w:color w:val="auto"/>
                <w:sz w:val="20"/>
                <w:szCs w:val="20"/>
              </w:rPr>
              <w:t>where appropriate, take adequate protection measures, including alarms</w:t>
            </w:r>
            <w:r w:rsidR="002F5341">
              <w:rPr>
                <w:rFonts w:asciiTheme="minorHAnsi" w:hAnsiTheme="minorHAnsi" w:cstheme="minorBidi"/>
                <w:i/>
                <w:color w:val="auto"/>
                <w:sz w:val="20"/>
                <w:szCs w:val="20"/>
              </w:rPr>
              <w:t>,</w:t>
            </w:r>
            <w:r w:rsidRPr="007E44E4">
              <w:rPr>
                <w:rFonts w:asciiTheme="minorHAnsi" w:hAnsiTheme="minorHAnsi" w:cstheme="minorBidi"/>
                <w:i/>
                <w:color w:val="auto"/>
                <w:sz w:val="20"/>
                <w:szCs w:val="20"/>
              </w:rPr>
              <w:t xml:space="preserve"> if necessary, in relation to risks that cannot be eliminated;</w:t>
            </w:r>
            <w:r>
              <w:rPr>
                <w:rFonts w:asciiTheme="minorHAnsi" w:hAnsiTheme="minorHAnsi" w:cstheme="minorBidi"/>
                <w:i/>
                <w:color w:val="auto"/>
                <w:sz w:val="20"/>
                <w:szCs w:val="20"/>
              </w:rPr>
              <w:t xml:space="preserve"> and </w:t>
            </w:r>
          </w:p>
        </w:tc>
      </w:tr>
      <w:tr w:rsidR="000912C3" w:rsidRPr="00D02B35" w14:paraId="163BD59D" w14:textId="77777777" w:rsidTr="001728E7">
        <w:trPr>
          <w:trHeight w:val="58"/>
        </w:trPr>
        <w:tc>
          <w:tcPr>
            <w:tcW w:w="1271" w:type="dxa"/>
            <w:tcBorders>
              <w:top w:val="nil"/>
              <w:left w:val="single" w:sz="4" w:space="0" w:color="auto"/>
              <w:bottom w:val="single" w:sz="4" w:space="0" w:color="auto"/>
              <w:right w:val="single" w:sz="4" w:space="0" w:color="auto"/>
            </w:tcBorders>
          </w:tcPr>
          <w:p w14:paraId="2C3C8A27" w14:textId="77777777" w:rsidR="000912C3" w:rsidRPr="006C5B12" w:rsidRDefault="000912C3" w:rsidP="001728E7">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c)</w:t>
            </w:r>
          </w:p>
        </w:tc>
        <w:tc>
          <w:tcPr>
            <w:tcW w:w="7791" w:type="dxa"/>
            <w:tcBorders>
              <w:top w:val="nil"/>
              <w:left w:val="single" w:sz="4" w:space="0" w:color="auto"/>
              <w:bottom w:val="single" w:sz="4" w:space="0" w:color="auto"/>
              <w:right w:val="single" w:sz="4" w:space="0" w:color="auto"/>
            </w:tcBorders>
            <w:shd w:val="clear" w:color="auto" w:fill="auto"/>
            <w:hideMark/>
          </w:tcPr>
          <w:p w14:paraId="298CB656" w14:textId="6FFD928D" w:rsidR="000912C3" w:rsidRPr="006C5B12" w:rsidRDefault="007E44E4" w:rsidP="001728E7">
            <w:pPr>
              <w:pStyle w:val="Default"/>
              <w:spacing w:after="60"/>
              <w:jc w:val="both"/>
              <w:rPr>
                <w:rFonts w:asciiTheme="minorHAnsi" w:hAnsiTheme="minorHAnsi" w:cstheme="minorBidi"/>
                <w:i/>
                <w:color w:val="auto"/>
                <w:sz w:val="20"/>
                <w:szCs w:val="20"/>
              </w:rPr>
            </w:pPr>
            <w:r w:rsidRPr="007E44E4">
              <w:rPr>
                <w:rFonts w:asciiTheme="minorHAnsi" w:hAnsiTheme="minorHAnsi" w:cstheme="minorBidi"/>
                <w:i/>
                <w:color w:val="auto"/>
                <w:sz w:val="20"/>
                <w:szCs w:val="20"/>
              </w:rPr>
              <w:t xml:space="preserve">provide safety information (warnings/precautions/contra-indications) and, where appropriate, </w:t>
            </w:r>
            <w:r w:rsidR="002F5341">
              <w:rPr>
                <w:rFonts w:asciiTheme="minorHAnsi" w:hAnsiTheme="minorHAnsi" w:cstheme="minorBidi"/>
                <w:i/>
                <w:color w:val="auto"/>
                <w:sz w:val="20"/>
                <w:szCs w:val="20"/>
              </w:rPr>
              <w:t>provide</w:t>
            </w:r>
            <w:r>
              <w:rPr>
                <w:rFonts w:asciiTheme="minorHAnsi" w:hAnsiTheme="minorHAnsi" w:cstheme="minorBidi"/>
                <w:i/>
                <w:color w:val="auto"/>
                <w:sz w:val="20"/>
                <w:szCs w:val="20"/>
              </w:rPr>
              <w:t xml:space="preserve"> </w:t>
            </w:r>
            <w:r w:rsidRPr="007E44E4">
              <w:rPr>
                <w:rFonts w:asciiTheme="minorHAnsi" w:hAnsiTheme="minorHAnsi" w:cstheme="minorBidi"/>
                <w:i/>
                <w:color w:val="auto"/>
                <w:sz w:val="20"/>
                <w:szCs w:val="20"/>
              </w:rPr>
              <w:t>training</w:t>
            </w:r>
            <w:r w:rsidR="002F5341">
              <w:rPr>
                <w:rFonts w:asciiTheme="minorHAnsi" w:hAnsiTheme="minorHAnsi" w:cstheme="minorBidi"/>
                <w:i/>
                <w:color w:val="auto"/>
                <w:sz w:val="20"/>
                <w:szCs w:val="20"/>
              </w:rPr>
              <w:t xml:space="preserve"> for users</w:t>
            </w:r>
            <w:r w:rsidRPr="007E44E4">
              <w:rPr>
                <w:rFonts w:asciiTheme="minorHAnsi" w:hAnsiTheme="minorHAnsi" w:cstheme="minorBidi"/>
                <w:i/>
                <w:color w:val="auto"/>
                <w:sz w:val="20"/>
                <w:szCs w:val="20"/>
              </w:rPr>
              <w:t>.</w:t>
            </w:r>
          </w:p>
        </w:tc>
      </w:tr>
      <w:tr w:rsidR="000912C3" w:rsidRPr="00D02B35" w14:paraId="260D0C36" w14:textId="77777777" w:rsidTr="001728E7">
        <w:trPr>
          <w:trHeight w:val="282"/>
        </w:trPr>
        <w:tc>
          <w:tcPr>
            <w:tcW w:w="1271" w:type="dxa"/>
            <w:tcBorders>
              <w:top w:val="nil"/>
              <w:left w:val="single" w:sz="4" w:space="0" w:color="auto"/>
              <w:bottom w:val="single" w:sz="4" w:space="0" w:color="auto"/>
              <w:right w:val="single" w:sz="4" w:space="0" w:color="auto"/>
            </w:tcBorders>
          </w:tcPr>
          <w:p w14:paraId="107EAFBF" w14:textId="77777777" w:rsidR="000912C3" w:rsidRPr="006C5B12" w:rsidRDefault="000912C3" w:rsidP="001728E7">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d)</w:t>
            </w:r>
          </w:p>
        </w:tc>
        <w:tc>
          <w:tcPr>
            <w:tcW w:w="7791" w:type="dxa"/>
            <w:tcBorders>
              <w:top w:val="nil"/>
              <w:left w:val="single" w:sz="4" w:space="0" w:color="auto"/>
              <w:bottom w:val="single" w:sz="4" w:space="0" w:color="auto"/>
              <w:right w:val="single" w:sz="4" w:space="0" w:color="auto"/>
            </w:tcBorders>
            <w:shd w:val="clear" w:color="auto" w:fill="auto"/>
            <w:hideMark/>
          </w:tcPr>
          <w:p w14:paraId="6728DF57" w14:textId="0E14B87B" w:rsidR="000912C3" w:rsidRPr="006C5B12" w:rsidRDefault="007E44E4" w:rsidP="001728E7">
            <w:pPr>
              <w:pStyle w:val="Default"/>
              <w:spacing w:after="60"/>
              <w:jc w:val="both"/>
              <w:rPr>
                <w:rFonts w:asciiTheme="minorHAnsi" w:hAnsiTheme="minorHAnsi" w:cstheme="minorBidi"/>
                <w:i/>
                <w:color w:val="auto"/>
                <w:sz w:val="20"/>
                <w:szCs w:val="20"/>
              </w:rPr>
            </w:pPr>
            <w:r w:rsidRPr="007E44E4">
              <w:rPr>
                <w:rFonts w:asciiTheme="minorHAnsi" w:hAnsiTheme="minorHAnsi" w:cstheme="minorBidi"/>
                <w:i/>
                <w:color w:val="auto"/>
                <w:sz w:val="20"/>
                <w:szCs w:val="20"/>
              </w:rPr>
              <w:t>Manufacturers shall inform users of any residual risks.</w:t>
            </w:r>
            <w:r>
              <w:rPr>
                <w:rFonts w:asciiTheme="minorHAnsi" w:hAnsiTheme="minorHAnsi" w:cstheme="minorBidi"/>
                <w:i/>
                <w:color w:val="auto"/>
                <w:sz w:val="20"/>
                <w:szCs w:val="20"/>
              </w:rPr>
              <w:t xml:space="preserve"> </w:t>
            </w:r>
          </w:p>
        </w:tc>
      </w:tr>
    </w:tbl>
    <w:p w14:paraId="12CC526A" w14:textId="596E25CF" w:rsidR="0019494F" w:rsidRPr="006C5B12" w:rsidRDefault="0019494F" w:rsidP="002614D9">
      <w:pPr>
        <w:jc w:val="both"/>
        <w:rPr>
          <w:u w:val="single"/>
          <w:lang w:val="en-GB"/>
        </w:rPr>
      </w:pPr>
    </w:p>
    <w:p w14:paraId="71AD58F4" w14:textId="77777777" w:rsidR="0019494F" w:rsidRPr="006C5B12" w:rsidRDefault="0019494F">
      <w:pPr>
        <w:rPr>
          <w:u w:val="single"/>
          <w:lang w:val="en-GB"/>
        </w:rPr>
      </w:pPr>
      <w:r w:rsidRPr="006C5B12">
        <w:rPr>
          <w:u w:val="single"/>
          <w:lang w:val="en-GB"/>
        </w:rPr>
        <w:br w:type="page"/>
      </w:r>
    </w:p>
    <w:p w14:paraId="46B41B6D" w14:textId="144BC652" w:rsidR="004F62B9" w:rsidRPr="006C5B12" w:rsidRDefault="0095078C" w:rsidP="00F4147C">
      <w:pPr>
        <w:pStyle w:val="berschrift2"/>
        <w:rPr>
          <w:lang w:val="en-GB"/>
        </w:rPr>
      </w:pPr>
      <w:bookmarkStart w:id="9" w:name="_Ref71886659"/>
      <w:r w:rsidRPr="006C5B12">
        <w:rPr>
          <w:lang w:val="en-GB"/>
        </w:rPr>
        <w:lastRenderedPageBreak/>
        <w:t>An</w:t>
      </w:r>
      <w:r w:rsidR="007E44E4">
        <w:rPr>
          <w:lang w:val="en-GB"/>
        </w:rPr>
        <w:t>nex</w:t>
      </w:r>
      <w:r w:rsidRPr="006C5B12">
        <w:rPr>
          <w:lang w:val="en-GB"/>
        </w:rPr>
        <w:t xml:space="preserve"> I, </w:t>
      </w:r>
      <w:r w:rsidR="007E44E4">
        <w:rPr>
          <w:lang w:val="en-GB"/>
        </w:rPr>
        <w:t>Chapter</w:t>
      </w:r>
      <w:r w:rsidRPr="006C5B12">
        <w:rPr>
          <w:lang w:val="en-GB"/>
        </w:rPr>
        <w:t xml:space="preserve"> I, </w:t>
      </w:r>
      <w:r w:rsidR="007E44E4">
        <w:rPr>
          <w:b/>
          <w:lang w:val="en-GB"/>
        </w:rPr>
        <w:t>Section</w:t>
      </w:r>
      <w:r w:rsidRPr="006C5B12">
        <w:rPr>
          <w:b/>
          <w:lang w:val="en-GB"/>
        </w:rPr>
        <w:t xml:space="preserve"> 3e</w:t>
      </w:r>
      <w:r w:rsidRPr="006C5B12">
        <w:rPr>
          <w:lang w:val="en-GB"/>
        </w:rPr>
        <w:t xml:space="preserve">: </w:t>
      </w:r>
      <w:r w:rsidR="002F5341">
        <w:rPr>
          <w:lang w:val="en-GB"/>
        </w:rPr>
        <w:t>E</w:t>
      </w:r>
      <w:r w:rsidR="007E44E4">
        <w:rPr>
          <w:lang w:val="en-GB"/>
        </w:rPr>
        <w:t xml:space="preserve">valuating the </w:t>
      </w:r>
      <w:r w:rsidR="008F68D8">
        <w:rPr>
          <w:lang w:val="en-GB"/>
        </w:rPr>
        <w:t>i</w:t>
      </w:r>
      <w:r w:rsidR="007E44E4">
        <w:rPr>
          <w:lang w:val="en-GB"/>
        </w:rPr>
        <w:t xml:space="preserve">mpact of </w:t>
      </w:r>
      <w:r w:rsidR="008F68D8">
        <w:rPr>
          <w:lang w:val="en-GB"/>
        </w:rPr>
        <w:t>i</w:t>
      </w:r>
      <w:r w:rsidR="007E44E4">
        <w:rPr>
          <w:lang w:val="en-GB"/>
        </w:rPr>
        <w:t xml:space="preserve">nformation from the </w:t>
      </w:r>
      <w:r w:rsidR="008F68D8">
        <w:rPr>
          <w:lang w:val="en-GB"/>
        </w:rPr>
        <w:t>p</w:t>
      </w:r>
      <w:r w:rsidR="007E44E4">
        <w:rPr>
          <w:lang w:val="en-GB"/>
        </w:rPr>
        <w:t xml:space="preserve">roduction </w:t>
      </w:r>
      <w:r w:rsidR="008F68D8">
        <w:rPr>
          <w:lang w:val="en-GB"/>
        </w:rPr>
        <w:t>p</w:t>
      </w:r>
      <w:r w:rsidR="007E44E4">
        <w:rPr>
          <w:lang w:val="en-GB"/>
        </w:rPr>
        <w:t xml:space="preserve">hase and, in </w:t>
      </w:r>
      <w:r w:rsidR="008F68D8">
        <w:rPr>
          <w:lang w:val="en-GB"/>
        </w:rPr>
        <w:t>p</w:t>
      </w:r>
      <w:r w:rsidR="007E44E4">
        <w:rPr>
          <w:lang w:val="en-GB"/>
        </w:rPr>
        <w:t xml:space="preserve">articular, </w:t>
      </w:r>
      <w:r w:rsidR="007E44E4" w:rsidRPr="007E44E4">
        <w:rPr>
          <w:lang w:val="en-GB"/>
        </w:rPr>
        <w:t xml:space="preserve">from the </w:t>
      </w:r>
      <w:r w:rsidR="008F68D8">
        <w:rPr>
          <w:lang w:val="en-GB"/>
        </w:rPr>
        <w:t>p</w:t>
      </w:r>
      <w:r w:rsidR="007E44E4" w:rsidRPr="007E44E4">
        <w:rPr>
          <w:lang w:val="en-GB"/>
        </w:rPr>
        <w:t xml:space="preserve">ost-market </w:t>
      </w:r>
      <w:r w:rsidR="008F68D8">
        <w:rPr>
          <w:lang w:val="en-GB"/>
        </w:rPr>
        <w:t>s</w:t>
      </w:r>
      <w:r w:rsidR="007E44E4" w:rsidRPr="007E44E4">
        <w:rPr>
          <w:lang w:val="en-GB"/>
        </w:rPr>
        <w:t xml:space="preserve">urveillance </w:t>
      </w:r>
      <w:r w:rsidR="008F68D8">
        <w:rPr>
          <w:lang w:val="en-GB"/>
        </w:rPr>
        <w:t>s</w:t>
      </w:r>
      <w:r w:rsidR="007E44E4" w:rsidRPr="007E44E4">
        <w:rPr>
          <w:lang w:val="en-GB"/>
        </w:rPr>
        <w:t xml:space="preserve">ystem, on </w:t>
      </w:r>
      <w:r w:rsidR="008F68D8">
        <w:rPr>
          <w:lang w:val="en-GB"/>
        </w:rPr>
        <w:t>h</w:t>
      </w:r>
      <w:r w:rsidR="007E44E4" w:rsidRPr="007E44E4">
        <w:rPr>
          <w:lang w:val="en-GB"/>
        </w:rPr>
        <w:t xml:space="preserve">azards and the </w:t>
      </w:r>
      <w:r w:rsidR="008F68D8">
        <w:rPr>
          <w:lang w:val="en-GB"/>
        </w:rPr>
        <w:t>f</w:t>
      </w:r>
      <w:r w:rsidR="007E44E4" w:rsidRPr="007E44E4">
        <w:rPr>
          <w:lang w:val="en-GB"/>
        </w:rPr>
        <w:t xml:space="preserve">requency of </w:t>
      </w:r>
      <w:r w:rsidR="008F68D8">
        <w:rPr>
          <w:lang w:val="en-GB"/>
        </w:rPr>
        <w:t>o</w:t>
      </w:r>
      <w:r w:rsidR="007E44E4" w:rsidRPr="007E44E4">
        <w:rPr>
          <w:lang w:val="en-GB"/>
        </w:rPr>
        <w:t xml:space="preserve">ccurrence </w:t>
      </w:r>
      <w:r w:rsidR="002F5341">
        <w:rPr>
          <w:lang w:val="en-GB"/>
        </w:rPr>
        <w:t>t</w:t>
      </w:r>
      <w:r w:rsidR="007E44E4" w:rsidRPr="007E44E4">
        <w:rPr>
          <w:lang w:val="en-GB"/>
        </w:rPr>
        <w:t xml:space="preserve">hereof, on </w:t>
      </w:r>
      <w:r w:rsidR="008F68D8">
        <w:rPr>
          <w:lang w:val="en-GB"/>
        </w:rPr>
        <w:t>e</w:t>
      </w:r>
      <w:r w:rsidR="007E44E4" w:rsidRPr="007E44E4">
        <w:rPr>
          <w:lang w:val="en-GB"/>
        </w:rPr>
        <w:t xml:space="preserve">stimates of their </w:t>
      </w:r>
      <w:r w:rsidR="008F68D8">
        <w:rPr>
          <w:lang w:val="en-GB"/>
        </w:rPr>
        <w:t>a</w:t>
      </w:r>
      <w:r w:rsidR="007E44E4" w:rsidRPr="007E44E4">
        <w:rPr>
          <w:lang w:val="en-GB"/>
        </w:rPr>
        <w:t xml:space="preserve">ssociated </w:t>
      </w:r>
      <w:r w:rsidR="008F68D8">
        <w:rPr>
          <w:lang w:val="en-GB"/>
        </w:rPr>
        <w:t>r</w:t>
      </w:r>
      <w:r w:rsidR="007E44E4" w:rsidRPr="007E44E4">
        <w:rPr>
          <w:lang w:val="en-GB"/>
        </w:rPr>
        <w:t xml:space="preserve">isks, as well as on the </w:t>
      </w:r>
      <w:r w:rsidR="008F68D8">
        <w:rPr>
          <w:lang w:val="en-GB"/>
        </w:rPr>
        <w:t>o</w:t>
      </w:r>
      <w:r w:rsidR="007E44E4" w:rsidRPr="007E44E4">
        <w:rPr>
          <w:lang w:val="en-GB"/>
        </w:rPr>
        <w:t xml:space="preserve">verall </w:t>
      </w:r>
      <w:r w:rsidR="008F68D8">
        <w:rPr>
          <w:lang w:val="en-GB"/>
        </w:rPr>
        <w:t>r</w:t>
      </w:r>
      <w:r w:rsidR="007E44E4" w:rsidRPr="007E44E4">
        <w:rPr>
          <w:lang w:val="en-GB"/>
        </w:rPr>
        <w:t xml:space="preserve">isk, the </w:t>
      </w:r>
      <w:r w:rsidR="008F68D8">
        <w:rPr>
          <w:lang w:val="en-GB"/>
        </w:rPr>
        <w:t>r</w:t>
      </w:r>
      <w:r w:rsidR="007E44E4">
        <w:rPr>
          <w:lang w:val="en-GB"/>
        </w:rPr>
        <w:t>isk-benefit</w:t>
      </w:r>
      <w:r w:rsidR="007E44E4" w:rsidRPr="007E44E4">
        <w:rPr>
          <w:lang w:val="en-GB"/>
        </w:rPr>
        <w:t xml:space="preserve"> </w:t>
      </w:r>
      <w:r w:rsidR="008F68D8">
        <w:rPr>
          <w:lang w:val="en-GB"/>
        </w:rPr>
        <w:t>r</w:t>
      </w:r>
      <w:r w:rsidR="007E44E4" w:rsidRPr="007E44E4">
        <w:rPr>
          <w:lang w:val="en-GB"/>
        </w:rPr>
        <w:t xml:space="preserve">atio and </w:t>
      </w:r>
      <w:r w:rsidR="008F68D8">
        <w:rPr>
          <w:lang w:val="en-GB"/>
        </w:rPr>
        <w:t>r</w:t>
      </w:r>
      <w:r w:rsidR="007E44E4" w:rsidRPr="007E44E4">
        <w:rPr>
          <w:lang w:val="en-GB"/>
        </w:rPr>
        <w:t xml:space="preserve">isk </w:t>
      </w:r>
      <w:r w:rsidR="008F68D8">
        <w:rPr>
          <w:lang w:val="en-GB"/>
        </w:rPr>
        <w:t>a</w:t>
      </w:r>
      <w:r w:rsidR="007E44E4" w:rsidRPr="007E44E4">
        <w:rPr>
          <w:lang w:val="en-GB"/>
        </w:rPr>
        <w:t>cceptability</w:t>
      </w:r>
      <w:r w:rsidR="007E44E4">
        <w:rPr>
          <w:lang w:val="en-GB"/>
        </w:rPr>
        <w:t xml:space="preserve"> </w:t>
      </w:r>
      <w:bookmarkEnd w:id="9"/>
    </w:p>
    <w:p w14:paraId="2D7FFB3B" w14:textId="7FA34767" w:rsidR="006835B8" w:rsidRPr="006C5B12" w:rsidRDefault="007E44E4" w:rsidP="004F62B9">
      <w:pPr>
        <w:jc w:val="both"/>
        <w:rPr>
          <w:i/>
          <w:iCs/>
          <w:lang w:val="en-GB"/>
        </w:rPr>
      </w:pPr>
      <w:r w:rsidRPr="007E44E4">
        <w:rPr>
          <w:lang w:val="en-GB"/>
        </w:rPr>
        <w:t xml:space="preserve">The IVDR does not specify how a system for monitoring an in-house IVD should be designed. </w:t>
      </w:r>
      <w:r w:rsidR="002F5341">
        <w:rPr>
          <w:lang w:val="en-GB"/>
        </w:rPr>
        <w:t>T</w:t>
      </w:r>
      <w:r w:rsidRPr="007E44E4">
        <w:rPr>
          <w:lang w:val="en-GB"/>
        </w:rPr>
        <w:t>his requirement</w:t>
      </w:r>
      <w:r w:rsidR="00B16BEC">
        <w:rPr>
          <w:lang w:val="en-GB"/>
        </w:rPr>
        <w:t xml:space="preserve"> is</w:t>
      </w:r>
      <w:r w:rsidRPr="007E44E4">
        <w:rPr>
          <w:lang w:val="en-GB"/>
        </w:rPr>
        <w:t xml:space="preserve"> </w:t>
      </w:r>
      <w:r w:rsidR="002F5341">
        <w:rPr>
          <w:lang w:val="en-GB"/>
        </w:rPr>
        <w:t>part</w:t>
      </w:r>
      <w:r w:rsidR="00B16BEC">
        <w:rPr>
          <w:lang w:val="en-GB"/>
        </w:rPr>
        <w:t>l</w:t>
      </w:r>
      <w:r w:rsidR="002F5341">
        <w:rPr>
          <w:lang w:val="en-GB"/>
        </w:rPr>
        <w:t xml:space="preserve">y </w:t>
      </w:r>
      <w:r w:rsidR="00B16BEC">
        <w:rPr>
          <w:lang w:val="en-GB"/>
        </w:rPr>
        <w:t xml:space="preserve">covered </w:t>
      </w:r>
      <w:r w:rsidR="003224D6">
        <w:rPr>
          <w:lang w:val="en-GB"/>
        </w:rPr>
        <w:t xml:space="preserve">by the requirement outlined </w:t>
      </w:r>
      <w:r w:rsidR="00B16BEC">
        <w:rPr>
          <w:lang w:val="en-GB"/>
        </w:rPr>
        <w:t>in</w:t>
      </w:r>
      <w:r w:rsidRPr="007E44E4">
        <w:rPr>
          <w:lang w:val="en-GB"/>
        </w:rPr>
        <w:t xml:space="preserve"> </w:t>
      </w:r>
      <w:r w:rsidR="007734D0">
        <w:rPr>
          <w:lang w:val="en-GB"/>
        </w:rPr>
        <w:t>Article</w:t>
      </w:r>
      <w:r w:rsidRPr="007E44E4">
        <w:rPr>
          <w:lang w:val="en-GB"/>
        </w:rPr>
        <w:t xml:space="preserve"> 5.5.i of the IVDR: </w:t>
      </w:r>
    </w:p>
    <w:p w14:paraId="371F6CA8" w14:textId="2EF52F23" w:rsidR="006835B8" w:rsidRPr="006C5B12" w:rsidRDefault="006835B8" w:rsidP="006835B8">
      <w:pPr>
        <w:pStyle w:val="Beschriftung"/>
        <w:rPr>
          <w:u w:val="single"/>
          <w:lang w:val="en-GB"/>
        </w:rPr>
      </w:pPr>
      <w:r w:rsidRPr="006C5B12">
        <w:rPr>
          <w:lang w:val="en-GB"/>
        </w:rPr>
        <w:t xml:space="preserve">Table </w:t>
      </w:r>
      <w:r w:rsidR="00F80F8D" w:rsidRPr="006C5B12">
        <w:rPr>
          <w:noProof/>
          <w:lang w:val="en-GB"/>
        </w:rPr>
        <w:fldChar w:fldCharType="begin"/>
      </w:r>
      <w:r w:rsidR="00F80F8D" w:rsidRPr="006C5B12">
        <w:rPr>
          <w:noProof/>
          <w:lang w:val="en-GB"/>
        </w:rPr>
        <w:instrText xml:space="preserve"> SEQ Tabelle \* ARABIC </w:instrText>
      </w:r>
      <w:r w:rsidR="00F80F8D" w:rsidRPr="006C5B12">
        <w:rPr>
          <w:noProof/>
          <w:lang w:val="en-GB"/>
        </w:rPr>
        <w:fldChar w:fldCharType="separate"/>
      </w:r>
      <w:r w:rsidR="00087CA3" w:rsidRPr="006C5B12">
        <w:rPr>
          <w:noProof/>
          <w:lang w:val="en-GB"/>
        </w:rPr>
        <w:t>5</w:t>
      </w:r>
      <w:r w:rsidR="00F80F8D" w:rsidRPr="006C5B12">
        <w:rPr>
          <w:noProof/>
          <w:lang w:val="en-GB"/>
        </w:rPr>
        <w:fldChar w:fldCharType="end"/>
      </w:r>
      <w:r w:rsidRPr="006C5B12">
        <w:rPr>
          <w:lang w:val="en-GB"/>
        </w:rPr>
        <w:t xml:space="preserve"> IVDR</w:t>
      </w:r>
      <w:r w:rsidR="007E1250">
        <w:rPr>
          <w:lang w:val="en-GB"/>
        </w:rPr>
        <w:t xml:space="preserve"> -</w:t>
      </w:r>
      <w:r w:rsidR="002A5D8F">
        <w:rPr>
          <w:lang w:val="en-GB"/>
        </w:rPr>
        <w:t xml:space="preserve"> </w:t>
      </w:r>
      <w:r w:rsidR="007734D0">
        <w:rPr>
          <w:lang w:val="en-GB"/>
        </w:rPr>
        <w:t>Article</w:t>
      </w:r>
      <w:r w:rsidR="002A5D8F">
        <w:rPr>
          <w:lang w:val="en-GB"/>
        </w:rPr>
        <w:t xml:space="preserve"> 5, Section </w:t>
      </w:r>
      <w:r w:rsidRPr="006C5B12">
        <w:rPr>
          <w:lang w:val="en-GB"/>
        </w:rPr>
        <w:t>5i</w:t>
      </w:r>
    </w:p>
    <w:tbl>
      <w:tblPr>
        <w:tblW w:w="8926" w:type="dxa"/>
        <w:tblLook w:val="04A0" w:firstRow="1" w:lastRow="0" w:firstColumn="1" w:lastColumn="0" w:noHBand="0" w:noVBand="1"/>
      </w:tblPr>
      <w:tblGrid>
        <w:gridCol w:w="1271"/>
        <w:gridCol w:w="7655"/>
      </w:tblGrid>
      <w:tr w:rsidR="006835B8" w:rsidRPr="006C5B12" w14:paraId="284D9916" w14:textId="77777777" w:rsidTr="00E838BF">
        <w:trPr>
          <w:trHeight w:val="318"/>
        </w:trPr>
        <w:tc>
          <w:tcPr>
            <w:tcW w:w="892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B982EF0" w14:textId="79ABE23F" w:rsidR="006835B8" w:rsidRPr="006C5B12" w:rsidRDefault="006835B8" w:rsidP="00E838BF">
            <w:pPr>
              <w:pStyle w:val="Default"/>
              <w:spacing w:after="60"/>
              <w:rPr>
                <w:rFonts w:asciiTheme="minorHAnsi" w:hAnsiTheme="minorHAnsi" w:cstheme="minorBidi"/>
                <w:b/>
                <w:bCs/>
                <w:i/>
                <w:iCs/>
                <w:color w:val="auto"/>
                <w:sz w:val="20"/>
                <w:szCs w:val="20"/>
              </w:rPr>
            </w:pPr>
            <w:r w:rsidRPr="006C5B12">
              <w:rPr>
                <w:rFonts w:asciiTheme="minorHAnsi" w:hAnsiTheme="minorHAnsi" w:cstheme="minorBidi"/>
                <w:b/>
                <w:bCs/>
                <w:i/>
                <w:color w:val="auto"/>
                <w:sz w:val="20"/>
                <w:szCs w:val="20"/>
              </w:rPr>
              <w:t>IVDR</w:t>
            </w:r>
          </w:p>
        </w:tc>
      </w:tr>
      <w:tr w:rsidR="006835B8" w:rsidRPr="00D02B35" w14:paraId="6E106566" w14:textId="77777777" w:rsidTr="00E838BF">
        <w:trPr>
          <w:trHeight w:val="280"/>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43F6AA0C" w14:textId="33D93F7D" w:rsidR="006835B8" w:rsidRPr="006C5B12" w:rsidRDefault="007734D0" w:rsidP="00E838BF">
            <w:pPr>
              <w:pStyle w:val="Default"/>
              <w:spacing w:after="60"/>
              <w:jc w:val="right"/>
              <w:rPr>
                <w:rFonts w:asciiTheme="minorHAnsi" w:hAnsiTheme="minorHAnsi" w:cstheme="minorBidi"/>
                <w:i/>
                <w:iCs/>
                <w:color w:val="auto"/>
                <w:sz w:val="20"/>
                <w:szCs w:val="20"/>
              </w:rPr>
            </w:pPr>
            <w:r>
              <w:rPr>
                <w:rFonts w:asciiTheme="minorHAnsi" w:hAnsiTheme="minorHAnsi" w:cstheme="minorBidi"/>
                <w:i/>
                <w:iCs/>
                <w:color w:val="auto"/>
                <w:sz w:val="20"/>
                <w:szCs w:val="20"/>
              </w:rPr>
              <w:t>Article</w:t>
            </w:r>
            <w:r w:rsidR="006835B8" w:rsidRPr="006C5B12">
              <w:rPr>
                <w:rFonts w:asciiTheme="minorHAnsi" w:hAnsiTheme="minorHAnsi" w:cstheme="minorBidi"/>
                <w:i/>
                <w:iCs/>
                <w:color w:val="auto"/>
                <w:sz w:val="20"/>
                <w:szCs w:val="20"/>
              </w:rPr>
              <w:t xml:space="preserve"> 5.</w:t>
            </w:r>
            <w:proofErr w:type="gramStart"/>
            <w:r w:rsidR="006835B8" w:rsidRPr="006C5B12">
              <w:rPr>
                <w:rFonts w:asciiTheme="minorHAnsi" w:hAnsiTheme="minorHAnsi" w:cstheme="minorBidi"/>
                <w:i/>
                <w:iCs/>
                <w:color w:val="auto"/>
                <w:sz w:val="20"/>
                <w:szCs w:val="20"/>
              </w:rPr>
              <w:t>5.i</w:t>
            </w:r>
            <w:proofErr w:type="gramEnd"/>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1394B73" w14:textId="3E47D3C4" w:rsidR="006835B8" w:rsidRPr="006C5B12" w:rsidRDefault="007734D0" w:rsidP="00E838BF">
            <w:pPr>
              <w:pStyle w:val="Default"/>
              <w:spacing w:line="276" w:lineRule="auto"/>
              <w:rPr>
                <w:rFonts w:asciiTheme="minorHAnsi" w:hAnsiTheme="minorHAnsi" w:cstheme="minorBidi"/>
                <w:i/>
                <w:iCs/>
                <w:color w:val="auto"/>
                <w:sz w:val="20"/>
                <w:szCs w:val="20"/>
              </w:rPr>
            </w:pPr>
            <w:r>
              <w:rPr>
                <w:rFonts w:asciiTheme="minorHAnsi" w:hAnsiTheme="minorHAnsi" w:cstheme="minorBidi"/>
                <w:i/>
                <w:iCs/>
                <w:color w:val="auto"/>
                <w:sz w:val="20"/>
                <w:szCs w:val="20"/>
              </w:rPr>
              <w:t>T</w:t>
            </w:r>
            <w:r w:rsidRPr="007734D0">
              <w:rPr>
                <w:rFonts w:asciiTheme="minorHAnsi" w:hAnsiTheme="minorHAnsi" w:cstheme="minorBidi"/>
                <w:i/>
                <w:iCs/>
                <w:color w:val="auto"/>
                <w:sz w:val="20"/>
                <w:szCs w:val="20"/>
              </w:rPr>
              <w:t>he health institution reviews experience gained from clinical use of the devices and takes all necessary corrective actions</w:t>
            </w:r>
          </w:p>
        </w:tc>
      </w:tr>
    </w:tbl>
    <w:p w14:paraId="549B787F" w14:textId="77777777" w:rsidR="000722E8" w:rsidRPr="006C5B12" w:rsidRDefault="000722E8" w:rsidP="00F4147C">
      <w:pPr>
        <w:jc w:val="both"/>
        <w:rPr>
          <w:lang w:val="en-GB"/>
        </w:rPr>
      </w:pPr>
    </w:p>
    <w:p w14:paraId="6D762BD6" w14:textId="588BE77F" w:rsidR="00432742" w:rsidRPr="006C5B12" w:rsidRDefault="007734D0" w:rsidP="00F4147C">
      <w:pPr>
        <w:jc w:val="both"/>
        <w:rPr>
          <w:lang w:val="en-GB"/>
        </w:rPr>
      </w:pPr>
      <w:r w:rsidRPr="007734D0">
        <w:rPr>
          <w:lang w:val="en-GB"/>
        </w:rPr>
        <w:t xml:space="preserve">The IVDR stipulates that the laboratory must collect and verify information about the in-house IVD from </w:t>
      </w:r>
      <w:r w:rsidR="00502C7E">
        <w:rPr>
          <w:lang w:val="en-GB"/>
        </w:rPr>
        <w:t xml:space="preserve">the </w:t>
      </w:r>
      <w:r w:rsidRPr="007734D0">
        <w:rPr>
          <w:lang w:val="en-GB"/>
        </w:rPr>
        <w:t xml:space="preserve">development </w:t>
      </w:r>
      <w:r w:rsidR="00B178AF">
        <w:rPr>
          <w:lang w:val="en-GB"/>
        </w:rPr>
        <w:t xml:space="preserve">phase </w:t>
      </w:r>
      <w:r w:rsidRPr="007734D0">
        <w:rPr>
          <w:lang w:val="en-GB"/>
        </w:rPr>
        <w:t>(</w:t>
      </w:r>
      <w:r w:rsidR="00502C7E">
        <w:rPr>
          <w:lang w:val="en-GB"/>
        </w:rPr>
        <w:t xml:space="preserve">the actual </w:t>
      </w:r>
      <w:r w:rsidRPr="007734D0">
        <w:rPr>
          <w:lang w:val="en-GB"/>
        </w:rPr>
        <w:t xml:space="preserve">manufacturing) and post-development phase. </w:t>
      </w:r>
      <w:r w:rsidR="00502C7E" w:rsidRPr="00502C7E">
        <w:rPr>
          <w:lang w:val="en-GB"/>
        </w:rPr>
        <w:t xml:space="preserve">Guidance on this can be found in Chapter 10.1 of EN ISO 22367:2020, which also describes the need to evaluate the information collected in this way to determine whether the risk control measures are effective and the risks (still) acceptable. </w:t>
      </w:r>
      <w:r w:rsidR="00502C7E">
        <w:rPr>
          <w:lang w:val="en-GB"/>
        </w:rPr>
        <w:t>A</w:t>
      </w:r>
      <w:r w:rsidR="00502C7E" w:rsidRPr="00502C7E">
        <w:rPr>
          <w:lang w:val="en-GB"/>
        </w:rPr>
        <w:t xml:space="preserve">s already </w:t>
      </w:r>
      <w:r w:rsidR="00DB04E8">
        <w:rPr>
          <w:lang w:val="en-GB"/>
        </w:rPr>
        <w:t>stated</w:t>
      </w:r>
      <w:r w:rsidR="00502C7E" w:rsidRPr="00502C7E">
        <w:rPr>
          <w:lang w:val="en-GB"/>
        </w:rPr>
        <w:t xml:space="preserve"> above</w:t>
      </w:r>
      <w:r w:rsidR="00502C7E">
        <w:rPr>
          <w:lang w:val="en-GB"/>
        </w:rPr>
        <w:t>, s</w:t>
      </w:r>
      <w:r w:rsidR="00502C7E" w:rsidRPr="00502C7E">
        <w:rPr>
          <w:lang w:val="en-GB"/>
        </w:rPr>
        <w:t xml:space="preserve">pecial attention must be paid to whether a positive risk-benefit </w:t>
      </w:r>
      <w:r w:rsidR="003224D6">
        <w:rPr>
          <w:lang w:val="en-GB"/>
        </w:rPr>
        <w:t>ratio</w:t>
      </w:r>
      <w:r w:rsidR="00502C7E" w:rsidRPr="00502C7E">
        <w:rPr>
          <w:lang w:val="en-GB"/>
        </w:rPr>
        <w:t xml:space="preserve"> </w:t>
      </w:r>
      <w:r w:rsidR="00DB04E8">
        <w:rPr>
          <w:lang w:val="en-GB"/>
        </w:rPr>
        <w:t>can be</w:t>
      </w:r>
      <w:r w:rsidR="00502C7E" w:rsidRPr="00502C7E">
        <w:rPr>
          <w:lang w:val="en-GB"/>
        </w:rPr>
        <w:t xml:space="preserve"> ensured </w:t>
      </w:r>
      <w:r w:rsidR="000C4558">
        <w:rPr>
          <w:lang w:val="en-GB"/>
        </w:rPr>
        <w:t>with respect to</w:t>
      </w:r>
      <w:r w:rsidR="00502C7E" w:rsidRPr="00502C7E">
        <w:rPr>
          <w:lang w:val="en-GB"/>
        </w:rPr>
        <w:t xml:space="preserve"> the intended purpose (as also required </w:t>
      </w:r>
      <w:r w:rsidR="00502C7E">
        <w:rPr>
          <w:lang w:val="en-GB"/>
        </w:rPr>
        <w:t>by</w:t>
      </w:r>
      <w:r w:rsidR="00502C7E" w:rsidRPr="00502C7E">
        <w:rPr>
          <w:lang w:val="en-GB"/>
        </w:rPr>
        <w:t xml:space="preserve"> Annex I, Chapter I, Sections 1, 2 and 8</w:t>
      </w:r>
      <w:r w:rsidR="000C4558" w:rsidRPr="000C4558">
        <w:rPr>
          <w:lang w:val="en-GB"/>
        </w:rPr>
        <w:t xml:space="preserve"> </w:t>
      </w:r>
      <w:r w:rsidR="000C4558">
        <w:rPr>
          <w:lang w:val="en-GB"/>
        </w:rPr>
        <w:t xml:space="preserve">of the </w:t>
      </w:r>
      <w:r w:rsidR="000C4558" w:rsidRPr="00502C7E">
        <w:rPr>
          <w:lang w:val="en-GB"/>
        </w:rPr>
        <w:t>IVDR</w:t>
      </w:r>
      <w:r w:rsidR="00502C7E" w:rsidRPr="00502C7E">
        <w:rPr>
          <w:lang w:val="en-GB"/>
        </w:rPr>
        <w:t>).</w:t>
      </w:r>
      <w:r w:rsidR="00344F8D">
        <w:rPr>
          <w:lang w:val="en-GB"/>
        </w:rPr>
        <w:t xml:space="preserve"> </w:t>
      </w:r>
    </w:p>
    <w:p w14:paraId="615583D1" w14:textId="223F7E9A" w:rsidR="00583AE5" w:rsidRPr="006C5B12" w:rsidRDefault="00344F8D" w:rsidP="0094170F">
      <w:pPr>
        <w:jc w:val="both"/>
        <w:rPr>
          <w:lang w:val="en-GB"/>
        </w:rPr>
      </w:pPr>
      <w:r w:rsidRPr="00344F8D">
        <w:rPr>
          <w:lang w:val="en-GB"/>
        </w:rPr>
        <w:t xml:space="preserve">There are both internal and external sources of risk information and data that can be included in the monitoring system. EN ISO 22367:2020 </w:t>
      </w:r>
      <w:r>
        <w:rPr>
          <w:lang w:val="en-GB"/>
        </w:rPr>
        <w:t>provides</w:t>
      </w:r>
      <w:r w:rsidRPr="00344F8D">
        <w:rPr>
          <w:lang w:val="en-GB"/>
        </w:rPr>
        <w:t xml:space="preserve"> examples of such sources in </w:t>
      </w:r>
      <w:r>
        <w:rPr>
          <w:lang w:val="en-GB"/>
        </w:rPr>
        <w:t>C</w:t>
      </w:r>
      <w:r w:rsidRPr="00344F8D">
        <w:rPr>
          <w:lang w:val="en-GB"/>
        </w:rPr>
        <w:t>hapters 10.2 and 10.3.</w:t>
      </w:r>
    </w:p>
    <w:p w14:paraId="3730FFCA" w14:textId="77777777" w:rsidR="0019494F" w:rsidRPr="006C5B12" w:rsidRDefault="0019494F" w:rsidP="0094170F">
      <w:pPr>
        <w:jc w:val="both"/>
        <w:rPr>
          <w:lang w:val="en-GB"/>
        </w:rPr>
      </w:pPr>
    </w:p>
    <w:p w14:paraId="1AE5F2AB" w14:textId="59038AD4" w:rsidR="00BF5874" w:rsidRPr="006C5B12" w:rsidRDefault="0095078C" w:rsidP="00F4147C">
      <w:pPr>
        <w:pStyle w:val="berschrift2"/>
        <w:rPr>
          <w:lang w:val="en-GB"/>
        </w:rPr>
      </w:pPr>
      <w:bookmarkStart w:id="10" w:name="_Ref71886662"/>
      <w:r w:rsidRPr="006C5B12">
        <w:rPr>
          <w:lang w:val="en-GB"/>
        </w:rPr>
        <w:t>An</w:t>
      </w:r>
      <w:r w:rsidR="00344F8D">
        <w:rPr>
          <w:lang w:val="en-GB"/>
        </w:rPr>
        <w:t>nex</w:t>
      </w:r>
      <w:r w:rsidRPr="006C5B12">
        <w:rPr>
          <w:lang w:val="en-GB"/>
        </w:rPr>
        <w:t xml:space="preserve"> I, </w:t>
      </w:r>
      <w:r w:rsidR="00344F8D">
        <w:rPr>
          <w:lang w:val="en-GB"/>
        </w:rPr>
        <w:t>Chapter</w:t>
      </w:r>
      <w:r w:rsidRPr="006C5B12">
        <w:rPr>
          <w:lang w:val="en-GB"/>
        </w:rPr>
        <w:t xml:space="preserve"> I,</w:t>
      </w:r>
      <w:r w:rsidR="00344F8D">
        <w:rPr>
          <w:lang w:val="en-GB"/>
        </w:rPr>
        <w:t xml:space="preserve"> </w:t>
      </w:r>
      <w:r w:rsidR="00344F8D">
        <w:rPr>
          <w:b/>
          <w:lang w:val="en-GB"/>
        </w:rPr>
        <w:t>Section</w:t>
      </w:r>
      <w:r w:rsidRPr="006C5B12">
        <w:rPr>
          <w:b/>
          <w:lang w:val="en-GB"/>
        </w:rPr>
        <w:t xml:space="preserve"> 3f:</w:t>
      </w:r>
      <w:r w:rsidRPr="006C5B12">
        <w:rPr>
          <w:lang w:val="en-GB"/>
        </w:rPr>
        <w:t xml:space="preserve"> </w:t>
      </w:r>
      <w:r w:rsidR="008710C0">
        <w:rPr>
          <w:lang w:val="en-GB"/>
        </w:rPr>
        <w:t xml:space="preserve">Adjusting the </w:t>
      </w:r>
      <w:r w:rsidR="008F68D8">
        <w:rPr>
          <w:lang w:val="en-GB"/>
        </w:rPr>
        <w:t>c</w:t>
      </w:r>
      <w:r w:rsidR="008710C0">
        <w:rPr>
          <w:lang w:val="en-GB"/>
        </w:rPr>
        <w:t xml:space="preserve">ontrol </w:t>
      </w:r>
      <w:r w:rsidR="008F68D8">
        <w:rPr>
          <w:lang w:val="en-GB"/>
        </w:rPr>
        <w:t>m</w:t>
      </w:r>
      <w:r w:rsidR="008710C0">
        <w:rPr>
          <w:lang w:val="en-GB"/>
        </w:rPr>
        <w:t xml:space="preserve">easures in </w:t>
      </w:r>
      <w:r w:rsidR="008F68D8">
        <w:rPr>
          <w:lang w:val="en-GB"/>
        </w:rPr>
        <w:t>l</w:t>
      </w:r>
      <w:r w:rsidR="008710C0">
        <w:rPr>
          <w:lang w:val="en-GB"/>
        </w:rPr>
        <w:t xml:space="preserve">ine with the </w:t>
      </w:r>
      <w:r w:rsidR="008F68D8">
        <w:rPr>
          <w:lang w:val="en-GB"/>
        </w:rPr>
        <w:t>r</w:t>
      </w:r>
      <w:r w:rsidR="008710C0">
        <w:rPr>
          <w:lang w:val="en-GB"/>
        </w:rPr>
        <w:t xml:space="preserve">equirements of Annex I, Chapter I, Section 4 of the IVDR </w:t>
      </w:r>
      <w:r w:rsidR="00344F8D">
        <w:rPr>
          <w:lang w:val="en-GB"/>
        </w:rPr>
        <w:t>and</w:t>
      </w:r>
      <w:r w:rsidR="008710C0">
        <w:rPr>
          <w:lang w:val="en-GB"/>
        </w:rPr>
        <w:t>,</w:t>
      </w:r>
      <w:r w:rsidR="00344F8D">
        <w:rPr>
          <w:lang w:val="en-GB"/>
        </w:rPr>
        <w:t xml:space="preserve"> </w:t>
      </w:r>
      <w:r w:rsidR="008710C0">
        <w:rPr>
          <w:lang w:val="en-GB"/>
        </w:rPr>
        <w:t>if</w:t>
      </w:r>
      <w:r w:rsidR="008F68D8">
        <w:rPr>
          <w:lang w:val="en-GB"/>
        </w:rPr>
        <w:t xml:space="preserve"> n</w:t>
      </w:r>
      <w:r w:rsidR="008710C0">
        <w:rPr>
          <w:lang w:val="en-GB"/>
        </w:rPr>
        <w:t>ecessary,</w:t>
      </w:r>
      <w:r w:rsidR="008F68D8">
        <w:rPr>
          <w:lang w:val="en-GB"/>
        </w:rPr>
        <w:t xml:space="preserve"> b</w:t>
      </w:r>
      <w:r w:rsidR="00344F8D">
        <w:rPr>
          <w:lang w:val="en-GB"/>
        </w:rPr>
        <w:t xml:space="preserve">ased on </w:t>
      </w:r>
      <w:r w:rsidR="008710C0">
        <w:rPr>
          <w:lang w:val="en-GB"/>
        </w:rPr>
        <w:t>an</w:t>
      </w:r>
      <w:r w:rsidR="00344F8D">
        <w:rPr>
          <w:lang w:val="en-GB"/>
        </w:rPr>
        <w:t xml:space="preserve"> </w:t>
      </w:r>
      <w:r w:rsidR="008F68D8">
        <w:rPr>
          <w:lang w:val="en-GB"/>
        </w:rPr>
        <w:t>i</w:t>
      </w:r>
      <w:r w:rsidR="008710C0">
        <w:rPr>
          <w:lang w:val="en-GB"/>
        </w:rPr>
        <w:t xml:space="preserve">mpact </w:t>
      </w:r>
      <w:r w:rsidR="008F68D8">
        <w:rPr>
          <w:lang w:val="en-GB"/>
        </w:rPr>
        <w:t>e</w:t>
      </w:r>
      <w:r w:rsidR="00344F8D">
        <w:rPr>
          <w:lang w:val="en-GB"/>
        </w:rPr>
        <w:t xml:space="preserve">valuation of the </w:t>
      </w:r>
      <w:r w:rsidR="008F68D8">
        <w:rPr>
          <w:lang w:val="en-GB"/>
        </w:rPr>
        <w:t>i</w:t>
      </w:r>
      <w:r w:rsidR="00344F8D">
        <w:rPr>
          <w:lang w:val="en-GB"/>
        </w:rPr>
        <w:t xml:space="preserve">nformation </w:t>
      </w:r>
      <w:r w:rsidR="008F68D8">
        <w:rPr>
          <w:lang w:val="en-GB"/>
        </w:rPr>
        <w:t>l</w:t>
      </w:r>
      <w:r w:rsidR="008710C0">
        <w:rPr>
          <w:lang w:val="en-GB"/>
        </w:rPr>
        <w:t>isted under</w:t>
      </w:r>
      <w:r w:rsidR="00344F8D">
        <w:rPr>
          <w:lang w:val="en-GB"/>
        </w:rPr>
        <w:t xml:space="preserve"> </w:t>
      </w:r>
      <w:r w:rsidR="003224D6">
        <w:rPr>
          <w:lang w:val="en-GB"/>
        </w:rPr>
        <w:t>p</w:t>
      </w:r>
      <w:r w:rsidR="00344F8D">
        <w:rPr>
          <w:lang w:val="en-GB"/>
        </w:rPr>
        <w:t>oint e (see Section 3e above)</w:t>
      </w:r>
      <w:r w:rsidR="00677962">
        <w:rPr>
          <w:lang w:val="en-GB"/>
        </w:rPr>
        <w:t xml:space="preserve"> </w:t>
      </w:r>
      <w:bookmarkEnd w:id="10"/>
    </w:p>
    <w:p w14:paraId="2C34A061" w14:textId="77F1CA84" w:rsidR="00FA152A" w:rsidRPr="006C5B12" w:rsidRDefault="00A71A55" w:rsidP="00F4147C">
      <w:pPr>
        <w:jc w:val="both"/>
        <w:rPr>
          <w:lang w:val="en-GB"/>
        </w:rPr>
      </w:pPr>
      <w:r w:rsidRPr="00A71A55">
        <w:rPr>
          <w:lang w:val="en-GB"/>
        </w:rPr>
        <w:t xml:space="preserve">This section states that if </w:t>
      </w:r>
      <w:r>
        <w:rPr>
          <w:lang w:val="en-GB"/>
        </w:rPr>
        <w:t>an</w:t>
      </w:r>
      <w:r w:rsidRPr="00A71A55">
        <w:rPr>
          <w:lang w:val="en-GB"/>
        </w:rPr>
        <w:t xml:space="preserve"> assessment</w:t>
      </w:r>
      <w:r w:rsidR="00E04D4F">
        <w:rPr>
          <w:lang w:val="en-GB"/>
        </w:rPr>
        <w:t>,</w:t>
      </w:r>
      <w:r w:rsidRPr="00A71A55">
        <w:rPr>
          <w:lang w:val="en-GB"/>
        </w:rPr>
        <w:t xml:space="preserve"> </w:t>
      </w:r>
      <w:r w:rsidR="00E04D4F">
        <w:rPr>
          <w:lang w:val="en-GB"/>
        </w:rPr>
        <w:t xml:space="preserve">conducted in accordance with </w:t>
      </w:r>
      <w:r w:rsidRPr="00A71A55">
        <w:rPr>
          <w:lang w:val="en-GB"/>
        </w:rPr>
        <w:t>Section 3e</w:t>
      </w:r>
      <w:r w:rsidR="00E04D4F">
        <w:rPr>
          <w:lang w:val="en-GB"/>
        </w:rPr>
        <w:t>,</w:t>
      </w:r>
      <w:r w:rsidRPr="00A71A55">
        <w:rPr>
          <w:lang w:val="en-GB"/>
        </w:rPr>
        <w:t xml:space="preserve"> shows that the risk control measures are not</w:t>
      </w:r>
      <w:r>
        <w:rPr>
          <w:lang w:val="en-GB"/>
        </w:rPr>
        <w:t>/no</w:t>
      </w:r>
      <w:r w:rsidRPr="00A71A55">
        <w:rPr>
          <w:lang w:val="en-GB"/>
        </w:rPr>
        <w:t xml:space="preserve"> longer effective and the risks are not</w:t>
      </w:r>
      <w:r>
        <w:rPr>
          <w:lang w:val="en-GB"/>
        </w:rPr>
        <w:t>/no</w:t>
      </w:r>
      <w:r w:rsidRPr="00A71A55">
        <w:rPr>
          <w:lang w:val="en-GB"/>
        </w:rPr>
        <w:t xml:space="preserve"> longer acceptable, the control measures </w:t>
      </w:r>
      <w:r w:rsidR="008E5353">
        <w:rPr>
          <w:lang w:val="en-GB"/>
        </w:rPr>
        <w:t>pursuant to</w:t>
      </w:r>
      <w:r w:rsidR="00E04D4F" w:rsidRPr="00A71A55">
        <w:rPr>
          <w:lang w:val="en-GB"/>
        </w:rPr>
        <w:t xml:space="preserve"> Annex I</w:t>
      </w:r>
      <w:r w:rsidR="003224D6">
        <w:rPr>
          <w:lang w:val="en-GB"/>
        </w:rPr>
        <w:t>,</w:t>
      </w:r>
      <w:r w:rsidR="00E04D4F" w:rsidRPr="00A71A55">
        <w:rPr>
          <w:lang w:val="en-GB"/>
        </w:rPr>
        <w:t xml:space="preserve"> Section 4 </w:t>
      </w:r>
      <w:r w:rsidR="00E04D4F">
        <w:rPr>
          <w:lang w:val="en-GB"/>
        </w:rPr>
        <w:t xml:space="preserve">of the </w:t>
      </w:r>
      <w:r w:rsidR="00E04D4F" w:rsidRPr="00A71A55">
        <w:rPr>
          <w:lang w:val="en-GB"/>
        </w:rPr>
        <w:t xml:space="preserve">IVDR must be </w:t>
      </w:r>
      <w:r w:rsidR="00E04D4F">
        <w:rPr>
          <w:lang w:val="en-GB"/>
        </w:rPr>
        <w:t xml:space="preserve">adjusted </w:t>
      </w:r>
      <w:r w:rsidRPr="00A71A55">
        <w:rPr>
          <w:lang w:val="en-GB"/>
        </w:rPr>
        <w:t>(</w:t>
      </w:r>
      <w:r w:rsidRPr="006C5B12">
        <w:rPr>
          <w:lang w:val="en-GB"/>
        </w:rPr>
        <w:t>s</w:t>
      </w:r>
      <w:r>
        <w:rPr>
          <w:lang w:val="en-GB"/>
        </w:rPr>
        <w:t>ee also</w:t>
      </w:r>
      <w:r w:rsidRPr="006C5B12">
        <w:rPr>
          <w:lang w:val="en-GB"/>
        </w:rPr>
        <w:t xml:space="preserve"> </w:t>
      </w:r>
      <w:r w:rsidRPr="006C5B12">
        <w:rPr>
          <w:lang w:val="en-GB"/>
        </w:rPr>
        <w:fldChar w:fldCharType="begin"/>
      </w:r>
      <w:r w:rsidRPr="006C5B12">
        <w:rPr>
          <w:lang w:val="en-GB"/>
        </w:rPr>
        <w:instrText xml:space="preserve"> REF _Ref70598714 \h  \* MERGEFORMAT </w:instrText>
      </w:r>
      <w:r w:rsidRPr="006C5B12">
        <w:rPr>
          <w:lang w:val="en-GB"/>
        </w:rPr>
      </w:r>
      <w:r w:rsidRPr="006C5B12">
        <w:rPr>
          <w:lang w:val="en-GB"/>
        </w:rPr>
        <w:fldChar w:fldCharType="separate"/>
      </w:r>
      <w:r w:rsidRPr="006C5B12">
        <w:rPr>
          <w:lang w:val="en-GB"/>
        </w:rPr>
        <w:t xml:space="preserve">Table </w:t>
      </w:r>
      <w:r w:rsidRPr="006C5B12">
        <w:rPr>
          <w:noProof/>
          <w:lang w:val="en-GB"/>
        </w:rPr>
        <w:t>4</w:t>
      </w:r>
      <w:r w:rsidRPr="006C5B12">
        <w:rPr>
          <w:lang w:val="en-GB"/>
        </w:rPr>
        <w:fldChar w:fldCharType="end"/>
      </w:r>
      <w:r w:rsidRPr="00A71A55">
        <w:rPr>
          <w:lang w:val="en-GB"/>
        </w:rPr>
        <w:t xml:space="preserve">). </w:t>
      </w:r>
      <w:r>
        <w:rPr>
          <w:lang w:val="en-GB"/>
        </w:rPr>
        <w:t>In combination</w:t>
      </w:r>
      <w:r w:rsidRPr="00A71A55">
        <w:rPr>
          <w:lang w:val="en-GB"/>
        </w:rPr>
        <w:t xml:space="preserve"> with </w:t>
      </w:r>
      <w:r>
        <w:rPr>
          <w:lang w:val="en-GB"/>
        </w:rPr>
        <w:t>S</w:t>
      </w:r>
      <w:r w:rsidRPr="00A71A55">
        <w:rPr>
          <w:lang w:val="en-GB"/>
        </w:rPr>
        <w:t>ection 3e above (</w:t>
      </w:r>
      <w:r>
        <w:rPr>
          <w:lang w:val="en-GB"/>
        </w:rPr>
        <w:t>P</w:t>
      </w:r>
      <w:r w:rsidRPr="00A71A55">
        <w:rPr>
          <w:lang w:val="en-GB"/>
        </w:rPr>
        <w:t xml:space="preserve">oint 2.5), EN ISO 22367:2020 </w:t>
      </w:r>
      <w:r w:rsidR="008E5353">
        <w:rPr>
          <w:lang w:val="en-GB"/>
        </w:rPr>
        <w:t>S</w:t>
      </w:r>
      <w:r w:rsidRPr="00A71A55">
        <w:rPr>
          <w:lang w:val="en-GB"/>
        </w:rPr>
        <w:t>ections 8 (</w:t>
      </w:r>
      <w:r w:rsidR="00E04D4F">
        <w:rPr>
          <w:lang w:val="en-GB"/>
        </w:rPr>
        <w:t>R</w:t>
      </w:r>
      <w:r w:rsidRPr="00A71A55">
        <w:rPr>
          <w:lang w:val="en-GB"/>
        </w:rPr>
        <w:t>isk-</w:t>
      </w:r>
      <w:r w:rsidR="00E04D4F">
        <w:rPr>
          <w:lang w:val="en-GB"/>
        </w:rPr>
        <w:t>B</w:t>
      </w:r>
      <w:r w:rsidRPr="00A71A55">
        <w:rPr>
          <w:lang w:val="en-GB"/>
        </w:rPr>
        <w:t xml:space="preserve">enefit </w:t>
      </w:r>
      <w:r w:rsidR="00E04D4F">
        <w:rPr>
          <w:lang w:val="en-GB"/>
        </w:rPr>
        <w:t>A</w:t>
      </w:r>
      <w:r w:rsidRPr="00A71A55">
        <w:rPr>
          <w:lang w:val="en-GB"/>
        </w:rPr>
        <w:t>nalysis), 9 (</w:t>
      </w:r>
      <w:r w:rsidR="00E04D4F">
        <w:rPr>
          <w:lang w:val="en-GB"/>
        </w:rPr>
        <w:t>R</w:t>
      </w:r>
      <w:r w:rsidRPr="00A71A55">
        <w:rPr>
          <w:lang w:val="en-GB"/>
        </w:rPr>
        <w:t>isk</w:t>
      </w:r>
      <w:r w:rsidR="00E04D4F">
        <w:rPr>
          <w:lang w:val="en-GB"/>
        </w:rPr>
        <w:t xml:space="preserve"> M</w:t>
      </w:r>
      <w:r w:rsidRPr="00A71A55">
        <w:rPr>
          <w:lang w:val="en-GB"/>
        </w:rPr>
        <w:t xml:space="preserve">anagement </w:t>
      </w:r>
      <w:r w:rsidR="00E04D4F">
        <w:rPr>
          <w:lang w:val="en-GB"/>
        </w:rPr>
        <w:t>R</w:t>
      </w:r>
      <w:r w:rsidRPr="00A71A55">
        <w:rPr>
          <w:lang w:val="en-GB"/>
        </w:rPr>
        <w:t>eview) and 10 (</w:t>
      </w:r>
      <w:r w:rsidR="00E04D4F">
        <w:rPr>
          <w:lang w:val="en-GB"/>
        </w:rPr>
        <w:t>R</w:t>
      </w:r>
      <w:r w:rsidRPr="00A71A55">
        <w:rPr>
          <w:lang w:val="en-GB"/>
        </w:rPr>
        <w:t xml:space="preserve">isk </w:t>
      </w:r>
      <w:r w:rsidR="00E04D4F">
        <w:rPr>
          <w:lang w:val="en-GB"/>
        </w:rPr>
        <w:t>M</w:t>
      </w:r>
      <w:r w:rsidRPr="00A71A55">
        <w:rPr>
          <w:lang w:val="en-GB"/>
        </w:rPr>
        <w:t xml:space="preserve">onitoring, </w:t>
      </w:r>
      <w:r w:rsidR="00E04D4F">
        <w:rPr>
          <w:lang w:val="en-GB"/>
        </w:rPr>
        <w:t>A</w:t>
      </w:r>
      <w:r w:rsidRPr="00A71A55">
        <w:rPr>
          <w:lang w:val="en-GB"/>
        </w:rPr>
        <w:t xml:space="preserve">nalysis and </w:t>
      </w:r>
      <w:r w:rsidR="00E04D4F">
        <w:rPr>
          <w:lang w:val="en-GB"/>
        </w:rPr>
        <w:t>C</w:t>
      </w:r>
      <w:r w:rsidRPr="00A71A55">
        <w:rPr>
          <w:lang w:val="en-GB"/>
        </w:rPr>
        <w:t xml:space="preserve">ontrol </w:t>
      </w:r>
      <w:r w:rsidR="00E04D4F">
        <w:rPr>
          <w:lang w:val="en-GB"/>
        </w:rPr>
        <w:t>A</w:t>
      </w:r>
      <w:r w:rsidRPr="00A71A55">
        <w:rPr>
          <w:lang w:val="en-GB"/>
        </w:rPr>
        <w:t xml:space="preserve">ctivities) can provide further guidance on implementation. </w:t>
      </w:r>
    </w:p>
    <w:p w14:paraId="386034B4" w14:textId="77777777" w:rsidR="00FA152A" w:rsidRPr="006C5B12" w:rsidRDefault="00FA152A">
      <w:pPr>
        <w:rPr>
          <w:lang w:val="en-GB"/>
        </w:rPr>
      </w:pPr>
      <w:r w:rsidRPr="006C5B12">
        <w:rPr>
          <w:lang w:val="en-GB"/>
        </w:rPr>
        <w:br w:type="page"/>
      </w:r>
    </w:p>
    <w:p w14:paraId="72099B1A" w14:textId="27F4E6DC" w:rsidR="0041718F" w:rsidRPr="006C5B12" w:rsidRDefault="00E020C2" w:rsidP="00F4147C">
      <w:pPr>
        <w:jc w:val="both"/>
        <w:rPr>
          <w:b/>
          <w:sz w:val="28"/>
          <w:szCs w:val="28"/>
          <w:u w:val="single"/>
          <w:lang w:val="en-GB"/>
        </w:rPr>
      </w:pPr>
      <w:r w:rsidRPr="006C5B12">
        <w:rPr>
          <w:b/>
          <w:sz w:val="28"/>
          <w:szCs w:val="28"/>
          <w:u w:val="single"/>
          <w:lang w:val="en-GB"/>
        </w:rPr>
        <w:lastRenderedPageBreak/>
        <w:t>An</w:t>
      </w:r>
      <w:r w:rsidR="00B920A4">
        <w:rPr>
          <w:b/>
          <w:sz w:val="28"/>
          <w:szCs w:val="28"/>
          <w:u w:val="single"/>
          <w:lang w:val="en-GB"/>
        </w:rPr>
        <w:t>nex</w:t>
      </w:r>
      <w:r w:rsidRPr="006C5B12">
        <w:rPr>
          <w:b/>
          <w:sz w:val="28"/>
          <w:szCs w:val="28"/>
          <w:u w:val="single"/>
          <w:lang w:val="en-GB"/>
        </w:rPr>
        <w:t xml:space="preserve"> 1</w:t>
      </w:r>
    </w:p>
    <w:p w14:paraId="3EE29064" w14:textId="12B85A03" w:rsidR="000E2AFA" w:rsidRPr="006C5B12" w:rsidRDefault="00E04D4F" w:rsidP="0072608A">
      <w:pPr>
        <w:pStyle w:val="berschrift1"/>
        <w:numPr>
          <w:ilvl w:val="0"/>
          <w:numId w:val="0"/>
        </w:numPr>
        <w:ind w:left="432" w:hanging="432"/>
        <w:rPr>
          <w:lang w:val="en-GB"/>
        </w:rPr>
      </w:pPr>
      <w:bookmarkStart w:id="11" w:name="_Ref80960095"/>
      <w:r>
        <w:rPr>
          <w:lang w:val="en-GB"/>
        </w:rPr>
        <w:t xml:space="preserve">Reference </w:t>
      </w:r>
      <w:r w:rsidR="00B920A4">
        <w:rPr>
          <w:lang w:val="en-GB"/>
        </w:rPr>
        <w:t>to</w:t>
      </w:r>
      <w:r w:rsidR="00463099" w:rsidRPr="006C5B12">
        <w:rPr>
          <w:lang w:val="en-GB"/>
        </w:rPr>
        <w:t xml:space="preserve"> EN ISO 22367:2020</w:t>
      </w:r>
      <w:bookmarkEnd w:id="11"/>
    </w:p>
    <w:p w14:paraId="2834E907" w14:textId="43E438C0" w:rsidR="00463099" w:rsidRPr="006C5B12" w:rsidRDefault="00B920A4" w:rsidP="0072608A">
      <w:pPr>
        <w:jc w:val="both"/>
        <w:rPr>
          <w:lang w:val="en-GB"/>
        </w:rPr>
      </w:pPr>
      <w:r w:rsidRPr="00B920A4">
        <w:rPr>
          <w:lang w:val="en-GB"/>
        </w:rPr>
        <w:t xml:space="preserve">EN ISO22367:2020 </w:t>
      </w:r>
      <w:r w:rsidRPr="00B920A4">
        <w:rPr>
          <w:i/>
          <w:iCs/>
          <w:lang w:val="en-GB"/>
        </w:rPr>
        <w:t>Medical laboratories - Application of risk management to medical laboratories</w:t>
      </w:r>
      <w:r w:rsidRPr="00B920A4">
        <w:rPr>
          <w:lang w:val="en-GB"/>
        </w:rPr>
        <w:t xml:space="preserve"> can serve as a good </w:t>
      </w:r>
      <w:r w:rsidR="008E5353">
        <w:rPr>
          <w:lang w:val="en-GB"/>
        </w:rPr>
        <w:t>starting point</w:t>
      </w:r>
      <w:r w:rsidRPr="00B920A4">
        <w:rPr>
          <w:lang w:val="en-GB"/>
        </w:rPr>
        <w:t xml:space="preserve"> and </w:t>
      </w:r>
      <w:r w:rsidR="00745A3C">
        <w:rPr>
          <w:lang w:val="en-GB"/>
        </w:rPr>
        <w:t>standard</w:t>
      </w:r>
      <w:r w:rsidRPr="00B920A4">
        <w:rPr>
          <w:lang w:val="en-GB"/>
        </w:rPr>
        <w:t xml:space="preserve"> for the implementation of IVDR</w:t>
      </w:r>
      <w:r>
        <w:rPr>
          <w:lang w:val="en-GB"/>
        </w:rPr>
        <w:t>-</w:t>
      </w:r>
      <w:r w:rsidRPr="00B920A4">
        <w:rPr>
          <w:lang w:val="en-GB"/>
        </w:rPr>
        <w:t xml:space="preserve">compliant risk management. It is important to </w:t>
      </w:r>
      <w:r>
        <w:rPr>
          <w:lang w:val="en-GB"/>
        </w:rPr>
        <w:t>note</w:t>
      </w:r>
      <w:r w:rsidRPr="00B920A4">
        <w:rPr>
          <w:lang w:val="en-GB"/>
        </w:rPr>
        <w:t xml:space="preserve"> that it is not necessary to comply with the standard </w:t>
      </w:r>
      <w:r>
        <w:rPr>
          <w:lang w:val="en-GB"/>
        </w:rPr>
        <w:t>in full -</w:t>
      </w:r>
      <w:r w:rsidRPr="00B920A4">
        <w:rPr>
          <w:lang w:val="en-GB"/>
        </w:rPr>
        <w:t xml:space="preserve"> the differences have been </w:t>
      </w:r>
      <w:r w:rsidR="00501487">
        <w:rPr>
          <w:lang w:val="en-GB"/>
        </w:rPr>
        <w:t>outlined</w:t>
      </w:r>
      <w:r w:rsidRPr="00B920A4">
        <w:rPr>
          <w:lang w:val="en-GB"/>
        </w:rPr>
        <w:t xml:space="preserve"> in previous chapters</w:t>
      </w:r>
      <w:r>
        <w:rPr>
          <w:lang w:val="en-GB"/>
        </w:rPr>
        <w:t xml:space="preserve"> -</w:t>
      </w:r>
      <w:r w:rsidRPr="00B920A4">
        <w:rPr>
          <w:lang w:val="en-GB"/>
        </w:rPr>
        <w:t xml:space="preserve"> but the standard </w:t>
      </w:r>
      <w:r w:rsidR="00745A3C">
        <w:rPr>
          <w:lang w:val="en-GB"/>
        </w:rPr>
        <w:t xml:space="preserve">does </w:t>
      </w:r>
      <w:r w:rsidRPr="00B920A4">
        <w:rPr>
          <w:lang w:val="en-GB"/>
        </w:rPr>
        <w:t xml:space="preserve">contain many helpful examples. </w:t>
      </w:r>
    </w:p>
    <w:p w14:paraId="5CE5D30C" w14:textId="43336ABC" w:rsidR="00463099" w:rsidRPr="006C5B12" w:rsidRDefault="00745A3C" w:rsidP="0072608A">
      <w:pPr>
        <w:jc w:val="both"/>
        <w:rPr>
          <w:lang w:val="en-GB"/>
        </w:rPr>
      </w:pPr>
      <w:r>
        <w:rPr>
          <w:noProof/>
          <w:lang w:val="en-GB" w:eastAsia="de-DE"/>
        </w:rPr>
        <mc:AlternateContent>
          <mc:Choice Requires="wps">
            <w:drawing>
              <wp:anchor distT="0" distB="0" distL="114300" distR="114300" simplePos="0" relativeHeight="251661312" behindDoc="0" locked="0" layoutInCell="1" allowOverlap="1" wp14:anchorId="2BB44131" wp14:editId="0E9085C1">
                <wp:simplePos x="0" y="0"/>
                <wp:positionH relativeFrom="column">
                  <wp:posOffset>3037939</wp:posOffset>
                </wp:positionH>
                <wp:positionV relativeFrom="paragraph">
                  <wp:posOffset>409295</wp:posOffset>
                </wp:positionV>
                <wp:extent cx="2727344" cy="856259"/>
                <wp:effectExtent l="0" t="0" r="0" b="1270"/>
                <wp:wrapNone/>
                <wp:docPr id="3" name="Textfeld 3"/>
                <wp:cNvGraphicFramePr/>
                <a:graphic xmlns:a="http://schemas.openxmlformats.org/drawingml/2006/main">
                  <a:graphicData uri="http://schemas.microsoft.com/office/word/2010/wordprocessingShape">
                    <wps:wsp>
                      <wps:cNvSpPr txBox="1"/>
                      <wps:spPr>
                        <a:xfrm>
                          <a:off x="0" y="0"/>
                          <a:ext cx="2727344" cy="856259"/>
                        </a:xfrm>
                        <a:prstGeom prst="rect">
                          <a:avLst/>
                        </a:prstGeom>
                        <a:solidFill>
                          <a:schemeClr val="lt1"/>
                        </a:solidFill>
                        <a:ln w="6350">
                          <a:noFill/>
                        </a:ln>
                      </wps:spPr>
                      <wps:txbx>
                        <w:txbxContent>
                          <w:p w14:paraId="5C7AF7EB" w14:textId="5CA9850F" w:rsidR="00745A3C" w:rsidRDefault="00CD7631" w:rsidP="00745A3C">
                            <w:pPr>
                              <w:spacing w:after="0"/>
                              <w:rPr>
                                <w:sz w:val="32"/>
                                <w:szCs w:val="32"/>
                                <w:lang w:val="en-GB"/>
                              </w:rPr>
                            </w:pPr>
                            <w:r>
                              <w:rPr>
                                <w:sz w:val="32"/>
                                <w:szCs w:val="32"/>
                                <w:lang w:val="en-GB"/>
                              </w:rPr>
                              <w:t>Comparable Sections in Annex I, Chapter I of the IVDR:</w:t>
                            </w:r>
                          </w:p>
                          <w:p w14:paraId="6E6280C4" w14:textId="5409CD36" w:rsidR="00CD7631" w:rsidRPr="00745A3C" w:rsidRDefault="00CD7631" w:rsidP="00745A3C">
                            <w:pPr>
                              <w:spacing w:after="0"/>
                              <w:rPr>
                                <w:sz w:val="32"/>
                                <w:szCs w:val="32"/>
                                <w:lang w:val="en-GB"/>
                              </w:rPr>
                            </w:pPr>
                            <w:r>
                              <w:rPr>
                                <w:sz w:val="32"/>
                                <w:szCs w:val="32"/>
                                <w:lang w:val="en-GB"/>
                              </w:rPr>
                              <w:t xml:space="preserve"> 3a  3b 3c  3d 3e 3f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BB44131" id="_x0000_t202" coordsize="21600,21600" o:spt="202" path="m,l,21600r21600,l21600,xe">
                <v:stroke joinstyle="miter"/>
                <v:path gradientshapeok="t" o:connecttype="rect"/>
              </v:shapetype>
              <v:shape id="Textfeld 3" o:spid="_x0000_s1026" type="#_x0000_t202" style="position:absolute;left:0;text-align:left;margin-left:239.2pt;margin-top:32.25pt;width:214.75pt;height:6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" fillcolor="white [3201]" stroked="f" strokeweight=".5pt">
                <v:textbox>
                  <w:txbxContent>
                    <w:p w14:paraId="5C7AF7EB" w14:textId="5CA9850F" w:rsidR="00745A3C" w:rsidRDefault="00CD7631" w:rsidP="00745A3C">
                      <w:pPr>
                        <w:spacing w:after="0"/>
                        <w:rPr>
                          <w:sz w:val="32"/>
                          <w:szCs w:val="32"/>
                          <w:lang w:val="en-GB"/>
                        </w:rPr>
                      </w:pPr>
                      <w:r>
                        <w:rPr>
                          <w:sz w:val="32"/>
                          <w:szCs w:val="32"/>
                          <w:lang w:val="en-GB"/>
                        </w:rPr>
                        <w:t>Comparable Sections in Annex I, Chapter I of the IVDR:</w:t>
                      </w:r>
                    </w:p>
                    <w:p w14:paraId="6E6280C4" w14:textId="5409CD36" w:rsidR="00CD7631" w:rsidRPr="00745A3C" w:rsidRDefault="00CD7631" w:rsidP="00745A3C">
                      <w:pPr>
                        <w:spacing w:after="0"/>
                        <w:rPr>
                          <w:sz w:val="32"/>
                          <w:szCs w:val="32"/>
                          <w:lang w:val="en-GB"/>
                        </w:rPr>
                      </w:pPr>
                      <w:r>
                        <w:rPr>
                          <w:sz w:val="32"/>
                          <w:szCs w:val="32"/>
                          <w:lang w:val="en-GB"/>
                        </w:rPr>
                        <w:t xml:space="preserve"> 3a  3b 3c  3d 3e 3f</w:t>
                      </w:r>
                    </w:p>
                  </w:txbxContent>
                </v:textbox>
              </v:shape>
            </w:pict>
          </mc:Fallback>
        </mc:AlternateContent>
      </w:r>
      <w:r>
        <w:rPr>
          <w:noProof/>
          <w:lang w:val="en-GB" w:eastAsia="de-DE"/>
        </w:rPr>
        <mc:AlternateContent>
          <mc:Choice Requires="wps">
            <w:drawing>
              <wp:anchor distT="0" distB="0" distL="114300" distR="114300" simplePos="0" relativeHeight="251659264" behindDoc="0" locked="0" layoutInCell="1" allowOverlap="1" wp14:anchorId="6984E0E0" wp14:editId="6B03EFC5">
                <wp:simplePos x="0" y="0"/>
                <wp:positionH relativeFrom="column">
                  <wp:posOffset>194314</wp:posOffset>
                </wp:positionH>
                <wp:positionV relativeFrom="paragraph">
                  <wp:posOffset>409296</wp:posOffset>
                </wp:positionV>
                <wp:extent cx="2727344" cy="76640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27344" cy="766405"/>
                        </a:xfrm>
                        <a:prstGeom prst="rect">
                          <a:avLst/>
                        </a:prstGeom>
                        <a:solidFill>
                          <a:schemeClr val="lt1"/>
                        </a:solidFill>
                        <a:ln w="6350">
                          <a:noFill/>
                        </a:ln>
                      </wps:spPr>
                      <wps:txbx>
                        <w:txbxContent>
                          <w:p w14:paraId="5B1D3DA1" w14:textId="2C68E4EB" w:rsidR="00745A3C" w:rsidRPr="00745A3C" w:rsidRDefault="00745A3C" w:rsidP="00745A3C">
                            <w:pPr>
                              <w:spacing w:after="0"/>
                              <w:rPr>
                                <w:sz w:val="32"/>
                                <w:szCs w:val="32"/>
                                <w:lang w:val="en-GB"/>
                              </w:rPr>
                            </w:pPr>
                            <w:r w:rsidRPr="00745A3C">
                              <w:rPr>
                                <w:sz w:val="32"/>
                                <w:szCs w:val="32"/>
                                <w:lang w:val="en-GB"/>
                              </w:rPr>
                              <w:t>Risk management process as outlined in EN ISO 22367:2020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84E0E0" id="Textfeld 1" o:spid="_x0000_s1027" type="#_x0000_t202" style="position:absolute;left:0;text-align:left;margin-left:15.3pt;margin-top:32.25pt;width:214.75pt;height:6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jRMAIAAFsEAAAOAAAAZHJzL2Uyb0RvYy54bWysVE1v2zAMvQ/YfxB0X+ykTtIZ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" fillcolor="white [3201]" stroked="f" strokeweight=".5pt">
                <v:textbox>
                  <w:txbxContent>
                    <w:p w14:paraId="5B1D3DA1" w14:textId="2C68E4EB" w:rsidR="00745A3C" w:rsidRPr="00745A3C" w:rsidRDefault="00745A3C" w:rsidP="00745A3C">
                      <w:pPr>
                        <w:spacing w:after="0"/>
                        <w:rPr>
                          <w:sz w:val="32"/>
                          <w:szCs w:val="32"/>
                          <w:lang w:val="en-GB"/>
                        </w:rPr>
                      </w:pPr>
                      <w:r w:rsidRPr="00745A3C">
                        <w:rPr>
                          <w:sz w:val="32"/>
                          <w:szCs w:val="32"/>
                          <w:lang w:val="en-GB"/>
                        </w:rPr>
                        <w:t>Risk management process as outlined in EN ISO 22367:2020</w:t>
                      </w:r>
                    </w:p>
                  </w:txbxContent>
                </v:textbox>
              </v:shape>
            </w:pict>
          </mc:Fallback>
        </mc:AlternateContent>
      </w:r>
      <w:r w:rsidR="00B920A4" w:rsidRPr="00B920A4">
        <w:rPr>
          <w:lang w:val="en-GB"/>
        </w:rPr>
        <w:t xml:space="preserve">As the figure </w:t>
      </w:r>
      <w:r w:rsidR="00B920A4">
        <w:rPr>
          <w:lang w:val="en-GB"/>
        </w:rPr>
        <w:t xml:space="preserve">below </w:t>
      </w:r>
      <w:r w:rsidR="00B920A4" w:rsidRPr="00B920A4">
        <w:rPr>
          <w:lang w:val="en-GB"/>
        </w:rPr>
        <w:t>(based on Figure 1 of EN ISO 22367:2020) shows, the IVDR</w:t>
      </w:r>
      <w:r w:rsidR="00B920A4">
        <w:rPr>
          <w:lang w:val="en-GB"/>
        </w:rPr>
        <w:t>’s</w:t>
      </w:r>
      <w:r w:rsidR="00B920A4" w:rsidRPr="00B920A4">
        <w:rPr>
          <w:lang w:val="en-GB"/>
        </w:rPr>
        <w:t xml:space="preserve"> requirements </w:t>
      </w:r>
      <w:r w:rsidR="00B920A4">
        <w:rPr>
          <w:lang w:val="en-GB"/>
        </w:rPr>
        <w:t>regarding</w:t>
      </w:r>
      <w:r w:rsidR="00B920A4" w:rsidRPr="00B920A4">
        <w:rPr>
          <w:lang w:val="en-GB"/>
        </w:rPr>
        <w:t xml:space="preserve"> risk management </w:t>
      </w:r>
      <w:r w:rsidR="00A859E9">
        <w:rPr>
          <w:lang w:val="en-GB"/>
        </w:rPr>
        <w:t>are reflected</w:t>
      </w:r>
      <w:r w:rsidR="00B920A4" w:rsidRPr="00B920A4">
        <w:rPr>
          <w:lang w:val="en-GB"/>
        </w:rPr>
        <w:t xml:space="preserve"> in the process described in EN ISO 22367.</w:t>
      </w:r>
      <w:r w:rsidR="00463099" w:rsidRPr="006C5B12">
        <w:rPr>
          <w:lang w:val="en-GB"/>
        </w:rPr>
        <w:t xml:space="preserve"> </w:t>
      </w:r>
    </w:p>
    <w:p w14:paraId="2990D44A" w14:textId="6414FEAE" w:rsidR="001B736C" w:rsidRPr="006C5B12" w:rsidRDefault="00501487" w:rsidP="00463099">
      <w:pPr>
        <w:rPr>
          <w:lang w:val="en-GB"/>
        </w:rPr>
      </w:pPr>
      <w:r>
        <w:rPr>
          <w:noProof/>
          <w:lang w:val="en-GB" w:eastAsia="de-DE"/>
        </w:rPr>
        <mc:AlternateContent>
          <mc:Choice Requires="wps">
            <w:drawing>
              <wp:anchor distT="0" distB="0" distL="114300" distR="114300" simplePos="0" relativeHeight="251664384" behindDoc="0" locked="0" layoutInCell="1" allowOverlap="1" wp14:anchorId="5C8FF969" wp14:editId="74951426">
                <wp:simplePos x="0" y="0"/>
                <wp:positionH relativeFrom="column">
                  <wp:posOffset>337023</wp:posOffset>
                </wp:positionH>
                <wp:positionV relativeFrom="paragraph">
                  <wp:posOffset>1732677</wp:posOffset>
                </wp:positionV>
                <wp:extent cx="2087245" cy="866830"/>
                <wp:effectExtent l="0" t="0" r="27305" b="28575"/>
                <wp:wrapNone/>
                <wp:docPr id="5" name="Textfeld 5"/>
                <wp:cNvGraphicFramePr/>
                <a:graphic xmlns:a="http://schemas.openxmlformats.org/drawingml/2006/main">
                  <a:graphicData uri="http://schemas.microsoft.com/office/word/2010/wordprocessingShape">
                    <wps:wsp>
                      <wps:cNvSpPr txBox="1"/>
                      <wps:spPr>
                        <a:xfrm>
                          <a:off x="0" y="0"/>
                          <a:ext cx="2087245" cy="866830"/>
                        </a:xfrm>
                        <a:prstGeom prst="rect">
                          <a:avLst/>
                        </a:prstGeom>
                        <a:solidFill>
                          <a:schemeClr val="bg1">
                            <a:lumMod val="95000"/>
                          </a:schemeClr>
                        </a:solidFill>
                        <a:ln w="6350">
                          <a:solidFill>
                            <a:schemeClr val="bg2">
                              <a:lumMod val="75000"/>
                            </a:schemeClr>
                          </a:solidFill>
                        </a:ln>
                      </wps:spPr>
                      <wps:txbx>
                        <w:txbxContent>
                          <w:p w14:paraId="68751071" w14:textId="26D98870" w:rsidR="00F97C13" w:rsidRPr="00B52CF9" w:rsidRDefault="00F97C13" w:rsidP="00F97C13">
                            <w:pPr>
                              <w:spacing w:after="0" w:line="240" w:lineRule="auto"/>
                              <w:ind w:hanging="142"/>
                              <w:rPr>
                                <w:sz w:val="18"/>
                                <w:szCs w:val="18"/>
                                <w:lang w:val="en-GB"/>
                              </w:rPr>
                            </w:pPr>
                            <w:r w:rsidRPr="00B52CF9">
                              <w:rPr>
                                <w:sz w:val="18"/>
                                <w:szCs w:val="18"/>
                                <w:lang w:val="en-GB"/>
                              </w:rPr>
                              <w:t xml:space="preserve">Risk </w:t>
                            </w:r>
                            <w:r>
                              <w:rPr>
                                <w:sz w:val="18"/>
                                <w:szCs w:val="18"/>
                                <w:lang w:val="en-GB"/>
                              </w:rPr>
                              <w:t>analysis</w:t>
                            </w:r>
                          </w:p>
                          <w:p w14:paraId="6E04B283" w14:textId="7BC27AEB" w:rsidR="00F97C13" w:rsidRPr="00B52CF9" w:rsidRDefault="00F97C13" w:rsidP="00F97C13">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Pr>
                                <w:rFonts w:cstheme="minorHAnsi"/>
                                <w:sz w:val="14"/>
                                <w:szCs w:val="14"/>
                                <w:lang w:val="en-GB"/>
                              </w:rPr>
                              <w:t>Specification if intended users</w:t>
                            </w:r>
                          </w:p>
                          <w:p w14:paraId="45414845" w14:textId="11BF0FCA" w:rsidR="00F97C13" w:rsidRDefault="00F97C13" w:rsidP="00F97C1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w:t>
                            </w:r>
                            <w:r>
                              <w:rPr>
                                <w:rFonts w:cstheme="minorHAnsi"/>
                                <w:sz w:val="14"/>
                                <w:szCs w:val="14"/>
                                <w:lang w:val="en-GB"/>
                              </w:rPr>
                              <w:t>Determination of search criteria</w:t>
                            </w:r>
                          </w:p>
                          <w:p w14:paraId="747E627E" w14:textId="0FE0DB0A" w:rsidR="00F97C13" w:rsidRDefault="00F97C13" w:rsidP="00F97C1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Recognition of potential hazards, hazardous situations and harm </w:t>
                            </w:r>
                          </w:p>
                          <w:p w14:paraId="6E64DCD7" w14:textId="2E790D4F" w:rsidR="00F97C13" w:rsidRDefault="00F97C13" w:rsidP="00F97C1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Identification of current control procedures</w:t>
                            </w:r>
                          </w:p>
                          <w:p w14:paraId="14F89530" w14:textId="3388A3C5" w:rsidR="00F97C13" w:rsidRPr="00B52CF9" w:rsidRDefault="00F97C13" w:rsidP="00F97C13">
                            <w:pPr>
                              <w:pStyle w:val="Listenabsatz"/>
                              <w:spacing w:after="0" w:line="240" w:lineRule="auto"/>
                              <w:ind w:left="0" w:hanging="142"/>
                              <w:contextualSpacing w:val="0"/>
                              <w:rPr>
                                <w:sz w:val="14"/>
                                <w:szCs w:val="14"/>
                                <w:lang w:val="en-GB"/>
                              </w:rPr>
                            </w:pPr>
                            <w:r w:rsidRPr="00B52CF9">
                              <w:rPr>
                                <w:rFonts w:cstheme="minorHAnsi"/>
                                <w:sz w:val="14"/>
                                <w:szCs w:val="14"/>
                                <w:lang w:val="en-GB"/>
                              </w:rPr>
                              <w:t>●</w:t>
                            </w:r>
                            <w:r>
                              <w:rPr>
                                <w:rFonts w:cstheme="minorHAnsi"/>
                                <w:sz w:val="14"/>
                                <w:szCs w:val="14"/>
                                <w:lang w:val="en-GB"/>
                              </w:rPr>
                              <w:t xml:space="preserve"> Estimation of risks</w:t>
                            </w:r>
                          </w:p>
                          <w:p w14:paraId="1F8011D4" w14:textId="77777777" w:rsidR="00F97C13" w:rsidRPr="00B52CF9" w:rsidRDefault="00F97C13" w:rsidP="00F97C13">
                            <w:pPr>
                              <w:pStyle w:val="Listenabsatz"/>
                              <w:spacing w:after="0"/>
                              <w:ind w:left="-142" w:hanging="142"/>
                              <w:contextualSpacing w:val="0"/>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8FF969" id="Textfeld 5" o:spid="_x0000_s1028" type="#_x0000_t202" style="position:absolute;margin-left:26.55pt;margin-top:136.45pt;width:164.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" fillcolor="#f2f2f2 [3052]" strokecolor="#aeaaaa [2414]" strokeweight=".5pt">
                <v:textbox>
                  <w:txbxContent>
                    <w:p w14:paraId="68751071" w14:textId="26D98870" w:rsidR="00F97C13" w:rsidRPr="00B52CF9" w:rsidRDefault="00F97C13" w:rsidP="00F97C13">
                      <w:pPr>
                        <w:spacing w:after="0" w:line="240" w:lineRule="auto"/>
                        <w:ind w:hanging="142"/>
                        <w:rPr>
                          <w:sz w:val="18"/>
                          <w:szCs w:val="18"/>
                          <w:lang w:val="en-GB"/>
                        </w:rPr>
                      </w:pPr>
                      <w:r w:rsidRPr="00B52CF9">
                        <w:rPr>
                          <w:sz w:val="18"/>
                          <w:szCs w:val="18"/>
                          <w:lang w:val="en-GB"/>
                        </w:rPr>
                        <w:t xml:space="preserve">Risk </w:t>
                      </w:r>
                      <w:r>
                        <w:rPr>
                          <w:sz w:val="18"/>
                          <w:szCs w:val="18"/>
                          <w:lang w:val="en-GB"/>
                        </w:rPr>
                        <w:t>analysis</w:t>
                      </w:r>
                    </w:p>
                    <w:p w14:paraId="6E04B283" w14:textId="7BC27AEB" w:rsidR="00F97C13" w:rsidRPr="00B52CF9" w:rsidRDefault="00F97C13" w:rsidP="00F97C13">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Pr>
                          <w:rFonts w:cstheme="minorHAnsi"/>
                          <w:sz w:val="14"/>
                          <w:szCs w:val="14"/>
                          <w:lang w:val="en-GB"/>
                        </w:rPr>
                        <w:t>Specification if intended users</w:t>
                      </w:r>
                    </w:p>
                    <w:p w14:paraId="45414845" w14:textId="11BF0FCA" w:rsidR="00F97C13" w:rsidRDefault="00F97C13" w:rsidP="00F97C1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w:t>
                      </w:r>
                      <w:r>
                        <w:rPr>
                          <w:rFonts w:cstheme="minorHAnsi"/>
                          <w:sz w:val="14"/>
                          <w:szCs w:val="14"/>
                          <w:lang w:val="en-GB"/>
                        </w:rPr>
                        <w:t>Determination of search criteria</w:t>
                      </w:r>
                    </w:p>
                    <w:p w14:paraId="747E627E" w14:textId="0FE0DB0A" w:rsidR="00F97C13" w:rsidRDefault="00F97C13" w:rsidP="00F97C1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Recognition of potential hazards, hazardous situations and harm </w:t>
                      </w:r>
                    </w:p>
                    <w:p w14:paraId="6E64DCD7" w14:textId="2E790D4F" w:rsidR="00F97C13" w:rsidRDefault="00F97C13" w:rsidP="00F97C1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Identification of current control procedures</w:t>
                      </w:r>
                    </w:p>
                    <w:p w14:paraId="14F89530" w14:textId="3388A3C5" w:rsidR="00F97C13" w:rsidRPr="00B52CF9" w:rsidRDefault="00F97C13" w:rsidP="00F97C13">
                      <w:pPr>
                        <w:pStyle w:val="Listenabsatz"/>
                        <w:spacing w:after="0" w:line="240" w:lineRule="auto"/>
                        <w:ind w:left="0" w:hanging="142"/>
                        <w:contextualSpacing w:val="0"/>
                        <w:rPr>
                          <w:sz w:val="14"/>
                          <w:szCs w:val="14"/>
                          <w:lang w:val="en-GB"/>
                        </w:rPr>
                      </w:pPr>
                      <w:r w:rsidRPr="00B52CF9">
                        <w:rPr>
                          <w:rFonts w:cstheme="minorHAnsi"/>
                          <w:sz w:val="14"/>
                          <w:szCs w:val="14"/>
                          <w:lang w:val="en-GB"/>
                        </w:rPr>
                        <w:t>●</w:t>
                      </w:r>
                      <w:r>
                        <w:rPr>
                          <w:rFonts w:cstheme="minorHAnsi"/>
                          <w:sz w:val="14"/>
                          <w:szCs w:val="14"/>
                          <w:lang w:val="en-GB"/>
                        </w:rPr>
                        <w:t xml:space="preserve"> Estimation of risks</w:t>
                      </w:r>
                    </w:p>
                    <w:p w14:paraId="1F8011D4" w14:textId="77777777" w:rsidR="00F97C13" w:rsidRPr="00B52CF9" w:rsidRDefault="00F97C13" w:rsidP="00F97C13">
                      <w:pPr>
                        <w:pStyle w:val="Listenabsatz"/>
                        <w:spacing w:after="0"/>
                        <w:ind w:left="-142" w:hanging="142"/>
                        <w:contextualSpacing w:val="0"/>
                        <w:rPr>
                          <w:sz w:val="14"/>
                          <w:szCs w:val="14"/>
                          <w:lang w:val="en-GB"/>
                        </w:rPr>
                      </w:pPr>
                    </w:p>
                  </w:txbxContent>
                </v:textbox>
              </v:shape>
            </w:pict>
          </mc:Fallback>
        </mc:AlternateContent>
      </w:r>
      <w:r w:rsidR="009B6A18">
        <w:rPr>
          <w:noProof/>
          <w:lang w:val="en-GB" w:eastAsia="de-DE"/>
        </w:rPr>
        <mc:AlternateContent>
          <mc:Choice Requires="wps">
            <w:drawing>
              <wp:anchor distT="0" distB="0" distL="114300" distR="114300" simplePos="0" relativeHeight="251673600" behindDoc="0" locked="0" layoutInCell="1" allowOverlap="1" wp14:anchorId="2DEB1437" wp14:editId="0EE4872D">
                <wp:simplePos x="0" y="0"/>
                <wp:positionH relativeFrom="column">
                  <wp:posOffset>2551430</wp:posOffset>
                </wp:positionH>
                <wp:positionV relativeFrom="paragraph">
                  <wp:posOffset>2360277</wp:posOffset>
                </wp:positionV>
                <wp:extent cx="787546" cy="190279"/>
                <wp:effectExtent l="0" t="0" r="0" b="635"/>
                <wp:wrapNone/>
                <wp:docPr id="10" name="Textfeld 10"/>
                <wp:cNvGraphicFramePr/>
                <a:graphic xmlns:a="http://schemas.openxmlformats.org/drawingml/2006/main">
                  <a:graphicData uri="http://schemas.microsoft.com/office/word/2010/wordprocessingShape">
                    <wps:wsp>
                      <wps:cNvSpPr txBox="1"/>
                      <wps:spPr>
                        <a:xfrm>
                          <a:off x="0" y="0"/>
                          <a:ext cx="787546" cy="190279"/>
                        </a:xfrm>
                        <a:prstGeom prst="rect">
                          <a:avLst/>
                        </a:prstGeom>
                        <a:solidFill>
                          <a:schemeClr val="lt1"/>
                        </a:solidFill>
                        <a:ln w="6350">
                          <a:noFill/>
                        </a:ln>
                      </wps:spPr>
                      <wps:txbx>
                        <w:txbxContent>
                          <w:p w14:paraId="601043BF" w14:textId="5C0EC33D" w:rsidR="009B6A18" w:rsidRPr="009B6A18" w:rsidRDefault="009B6A18">
                            <w:pPr>
                              <w:rPr>
                                <w:sz w:val="14"/>
                                <w:szCs w:val="14"/>
                              </w:rPr>
                            </w:pPr>
                            <w:r w:rsidRPr="009B6A18">
                              <w:rPr>
                                <w:sz w:val="14"/>
                                <w:szCs w:val="14"/>
                              </w:rPr>
                              <w:t>Risk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DEB1437" id="Textfeld 10" o:spid="_x0000_s1029" type="#_x0000_t202" style="position:absolute;margin-left:200.9pt;margin-top:185.85pt;width:62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" fillcolor="white [3201]" stroked="f" strokeweight=".5pt">
                <v:textbox>
                  <w:txbxContent>
                    <w:p w14:paraId="601043BF" w14:textId="5C0EC33D" w:rsidR="009B6A18" w:rsidRPr="009B6A18" w:rsidRDefault="009B6A18">
                      <w:pPr>
                        <w:rPr>
                          <w:sz w:val="14"/>
                          <w:szCs w:val="14"/>
                        </w:rPr>
                      </w:pPr>
                      <w:r w:rsidRPr="009B6A18">
                        <w:rPr>
                          <w:sz w:val="14"/>
                          <w:szCs w:val="14"/>
                        </w:rPr>
                        <w:t>Risk assessment</w:t>
                      </w:r>
                    </w:p>
                  </w:txbxContent>
                </v:textbox>
              </v:shape>
            </w:pict>
          </mc:Fallback>
        </mc:AlternateContent>
      </w:r>
      <w:r w:rsidR="009B6A18">
        <w:rPr>
          <w:noProof/>
          <w:lang w:val="en-GB" w:eastAsia="de-DE"/>
        </w:rPr>
        <mc:AlternateContent>
          <mc:Choice Requires="wps">
            <w:drawing>
              <wp:anchor distT="0" distB="0" distL="114300" distR="114300" simplePos="0" relativeHeight="251672576" behindDoc="0" locked="0" layoutInCell="1" allowOverlap="1" wp14:anchorId="36019355" wp14:editId="11032630">
                <wp:simplePos x="0" y="0"/>
                <wp:positionH relativeFrom="column">
                  <wp:posOffset>336784</wp:posOffset>
                </wp:positionH>
                <wp:positionV relativeFrom="paragraph">
                  <wp:posOffset>5346736</wp:posOffset>
                </wp:positionV>
                <wp:extent cx="2087792" cy="697693"/>
                <wp:effectExtent l="0" t="0" r="27305" b="26670"/>
                <wp:wrapNone/>
                <wp:docPr id="9" name="Textfeld 9"/>
                <wp:cNvGraphicFramePr/>
                <a:graphic xmlns:a="http://schemas.openxmlformats.org/drawingml/2006/main">
                  <a:graphicData uri="http://schemas.microsoft.com/office/word/2010/wordprocessingShape">
                    <wps:wsp>
                      <wps:cNvSpPr txBox="1"/>
                      <wps:spPr>
                        <a:xfrm>
                          <a:off x="0" y="0"/>
                          <a:ext cx="2087792" cy="697693"/>
                        </a:xfrm>
                        <a:prstGeom prst="rect">
                          <a:avLst/>
                        </a:prstGeom>
                        <a:solidFill>
                          <a:schemeClr val="bg1">
                            <a:lumMod val="95000"/>
                          </a:schemeClr>
                        </a:solidFill>
                        <a:ln w="6350">
                          <a:solidFill>
                            <a:schemeClr val="bg2">
                              <a:lumMod val="75000"/>
                            </a:schemeClr>
                          </a:solidFill>
                        </a:ln>
                      </wps:spPr>
                      <wps:txbx>
                        <w:txbxContent>
                          <w:p w14:paraId="20BD0F83" w14:textId="741D9E70" w:rsidR="009B6A18" w:rsidRPr="00B52CF9" w:rsidRDefault="009B6A18" w:rsidP="009B6A18">
                            <w:pPr>
                              <w:spacing w:after="0" w:line="240" w:lineRule="auto"/>
                              <w:ind w:hanging="142"/>
                              <w:rPr>
                                <w:sz w:val="18"/>
                                <w:szCs w:val="18"/>
                                <w:lang w:val="en-GB"/>
                              </w:rPr>
                            </w:pPr>
                            <w:r>
                              <w:rPr>
                                <w:sz w:val="18"/>
                                <w:szCs w:val="18"/>
                                <w:lang w:val="en-GB"/>
                              </w:rPr>
                              <w:t>Monitoring of risk</w:t>
                            </w:r>
                          </w:p>
                          <w:p w14:paraId="1008E00C" w14:textId="23B3BF89" w:rsidR="009B6A18" w:rsidRPr="00B52CF9" w:rsidRDefault="009B6A18" w:rsidP="009B6A18">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Pr>
                                <w:rFonts w:cstheme="minorHAnsi"/>
                                <w:sz w:val="14"/>
                                <w:szCs w:val="14"/>
                                <w:lang w:val="en-GB"/>
                              </w:rPr>
                              <w:t xml:space="preserve">Establishment of </w:t>
                            </w:r>
                            <w:r w:rsidR="007E7673">
                              <w:rPr>
                                <w:rFonts w:cstheme="minorHAnsi"/>
                                <w:sz w:val="14"/>
                                <w:szCs w:val="14"/>
                                <w:lang w:val="en-GB"/>
                              </w:rPr>
                              <w:t xml:space="preserve">a </w:t>
                            </w:r>
                            <w:r>
                              <w:rPr>
                                <w:rFonts w:cstheme="minorHAnsi"/>
                                <w:sz w:val="14"/>
                                <w:szCs w:val="14"/>
                                <w:lang w:val="en-GB"/>
                              </w:rPr>
                              <w:t>monitoring system</w:t>
                            </w:r>
                          </w:p>
                          <w:p w14:paraId="3F87DC77" w14:textId="17D9BCA1" w:rsidR="009B6A18" w:rsidRDefault="009B6A18" w:rsidP="009B6A18">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w:t>
                            </w:r>
                            <w:r>
                              <w:rPr>
                                <w:rFonts w:cstheme="minorHAnsi"/>
                                <w:sz w:val="14"/>
                                <w:szCs w:val="14"/>
                                <w:lang w:val="en-GB"/>
                              </w:rPr>
                              <w:t>Monitoring of internal indicators</w:t>
                            </w:r>
                          </w:p>
                          <w:p w14:paraId="5A218C3B" w14:textId="10DECD59" w:rsidR="009B6A18" w:rsidRDefault="009B6A18" w:rsidP="009B6A18">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Monitoring of external indicators</w:t>
                            </w:r>
                          </w:p>
                          <w:p w14:paraId="193FD6CF" w14:textId="2B044A60" w:rsidR="009B6A18" w:rsidRDefault="009B6A18" w:rsidP="009B6A18">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Determination of changes to risk profile</w:t>
                            </w:r>
                          </w:p>
                          <w:p w14:paraId="4E787AB7" w14:textId="55898F00" w:rsidR="009B6A18" w:rsidRPr="00B52CF9" w:rsidRDefault="009B6A18" w:rsidP="009B6A18">
                            <w:pPr>
                              <w:pStyle w:val="Listenabsatz"/>
                              <w:spacing w:after="0" w:line="240" w:lineRule="auto"/>
                              <w:ind w:left="0" w:hanging="142"/>
                              <w:contextualSpacing w:val="0"/>
                              <w:rPr>
                                <w:sz w:val="14"/>
                                <w:szCs w:val="14"/>
                                <w:lang w:val="en-GB"/>
                              </w:rPr>
                            </w:pPr>
                          </w:p>
                          <w:p w14:paraId="540DACD1" w14:textId="77777777" w:rsidR="009B6A18" w:rsidRPr="00B52CF9" w:rsidRDefault="009B6A18" w:rsidP="009B6A18">
                            <w:pPr>
                              <w:pStyle w:val="Listenabsatz"/>
                              <w:spacing w:after="0"/>
                              <w:ind w:left="-142" w:hanging="142"/>
                              <w:contextualSpacing w:val="0"/>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6019355" id="Textfeld 9" o:spid="_x0000_s1030" type="#_x0000_t202" style="position:absolute;margin-left:26.5pt;margin-top:421pt;width:164.4pt;height:5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" fillcolor="#f2f2f2 [3052]" strokecolor="#aeaaaa [2414]" strokeweight=".5pt">
                <v:textbox>
                  <w:txbxContent>
                    <w:p w14:paraId="20BD0F83" w14:textId="741D9E70" w:rsidR="009B6A18" w:rsidRPr="00B52CF9" w:rsidRDefault="009B6A18" w:rsidP="009B6A18">
                      <w:pPr>
                        <w:spacing w:after="0" w:line="240" w:lineRule="auto"/>
                        <w:ind w:hanging="142"/>
                        <w:rPr>
                          <w:sz w:val="18"/>
                          <w:szCs w:val="18"/>
                          <w:lang w:val="en-GB"/>
                        </w:rPr>
                      </w:pPr>
                      <w:r>
                        <w:rPr>
                          <w:sz w:val="18"/>
                          <w:szCs w:val="18"/>
                          <w:lang w:val="en-GB"/>
                        </w:rPr>
                        <w:t>Monitoring of risk</w:t>
                      </w:r>
                    </w:p>
                    <w:p w14:paraId="1008E00C" w14:textId="23B3BF89" w:rsidR="009B6A18" w:rsidRPr="00B52CF9" w:rsidRDefault="009B6A18" w:rsidP="009B6A18">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Pr>
                          <w:rFonts w:cstheme="minorHAnsi"/>
                          <w:sz w:val="14"/>
                          <w:szCs w:val="14"/>
                          <w:lang w:val="en-GB"/>
                        </w:rPr>
                        <w:t xml:space="preserve">Establishment of </w:t>
                      </w:r>
                      <w:r w:rsidR="007E7673">
                        <w:rPr>
                          <w:rFonts w:cstheme="minorHAnsi"/>
                          <w:sz w:val="14"/>
                          <w:szCs w:val="14"/>
                          <w:lang w:val="en-GB"/>
                        </w:rPr>
                        <w:t xml:space="preserve">a </w:t>
                      </w:r>
                      <w:r>
                        <w:rPr>
                          <w:rFonts w:cstheme="minorHAnsi"/>
                          <w:sz w:val="14"/>
                          <w:szCs w:val="14"/>
                          <w:lang w:val="en-GB"/>
                        </w:rPr>
                        <w:t>monitoring system</w:t>
                      </w:r>
                    </w:p>
                    <w:p w14:paraId="3F87DC77" w14:textId="17D9BCA1" w:rsidR="009B6A18" w:rsidRDefault="009B6A18" w:rsidP="009B6A18">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w:t>
                      </w:r>
                      <w:r>
                        <w:rPr>
                          <w:rFonts w:cstheme="minorHAnsi"/>
                          <w:sz w:val="14"/>
                          <w:szCs w:val="14"/>
                          <w:lang w:val="en-GB"/>
                        </w:rPr>
                        <w:t>Monitoring of internal indicators</w:t>
                      </w:r>
                    </w:p>
                    <w:p w14:paraId="5A218C3B" w14:textId="10DECD59" w:rsidR="009B6A18" w:rsidRDefault="009B6A18" w:rsidP="009B6A18">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Monitoring of external indicators</w:t>
                      </w:r>
                    </w:p>
                    <w:p w14:paraId="193FD6CF" w14:textId="2B044A60" w:rsidR="009B6A18" w:rsidRDefault="009B6A18" w:rsidP="009B6A18">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Determination of changes to risk profile</w:t>
                      </w:r>
                    </w:p>
                    <w:p w14:paraId="4E787AB7" w14:textId="55898F00" w:rsidR="009B6A18" w:rsidRPr="00B52CF9" w:rsidRDefault="009B6A18" w:rsidP="009B6A18">
                      <w:pPr>
                        <w:pStyle w:val="Listenabsatz"/>
                        <w:spacing w:after="0" w:line="240" w:lineRule="auto"/>
                        <w:ind w:left="0" w:hanging="142"/>
                        <w:contextualSpacing w:val="0"/>
                        <w:rPr>
                          <w:sz w:val="14"/>
                          <w:szCs w:val="14"/>
                          <w:lang w:val="en-GB"/>
                        </w:rPr>
                      </w:pPr>
                    </w:p>
                    <w:p w14:paraId="540DACD1" w14:textId="77777777" w:rsidR="009B6A18" w:rsidRPr="00B52CF9" w:rsidRDefault="009B6A18" w:rsidP="009B6A18">
                      <w:pPr>
                        <w:pStyle w:val="Listenabsatz"/>
                        <w:spacing w:after="0"/>
                        <w:ind w:left="-142" w:hanging="142"/>
                        <w:contextualSpacing w:val="0"/>
                        <w:rPr>
                          <w:sz w:val="14"/>
                          <w:szCs w:val="14"/>
                          <w:lang w:val="en-GB"/>
                        </w:rPr>
                      </w:pPr>
                    </w:p>
                  </w:txbxContent>
                </v:textbox>
              </v:shape>
            </w:pict>
          </mc:Fallback>
        </mc:AlternateContent>
      </w:r>
      <w:r w:rsidR="0080733A">
        <w:rPr>
          <w:noProof/>
          <w:lang w:val="en-GB" w:eastAsia="de-DE"/>
        </w:rPr>
        <mc:AlternateContent>
          <mc:Choice Requires="wps">
            <w:drawing>
              <wp:anchor distT="0" distB="0" distL="114300" distR="114300" simplePos="0" relativeHeight="251670528" behindDoc="0" locked="0" layoutInCell="1" allowOverlap="1" wp14:anchorId="5F4F803C" wp14:editId="2852D9AA">
                <wp:simplePos x="0" y="0"/>
                <wp:positionH relativeFrom="column">
                  <wp:posOffset>337023</wp:posOffset>
                </wp:positionH>
                <wp:positionV relativeFrom="paragraph">
                  <wp:posOffset>4591314</wp:posOffset>
                </wp:positionV>
                <wp:extent cx="2087792" cy="607838"/>
                <wp:effectExtent l="0" t="0" r="27305" b="20955"/>
                <wp:wrapNone/>
                <wp:docPr id="8" name="Textfeld 8"/>
                <wp:cNvGraphicFramePr/>
                <a:graphic xmlns:a="http://schemas.openxmlformats.org/drawingml/2006/main">
                  <a:graphicData uri="http://schemas.microsoft.com/office/word/2010/wordprocessingShape">
                    <wps:wsp>
                      <wps:cNvSpPr txBox="1"/>
                      <wps:spPr>
                        <a:xfrm>
                          <a:off x="0" y="0"/>
                          <a:ext cx="2087792" cy="607838"/>
                        </a:xfrm>
                        <a:prstGeom prst="rect">
                          <a:avLst/>
                        </a:prstGeom>
                        <a:solidFill>
                          <a:schemeClr val="bg1">
                            <a:lumMod val="95000"/>
                          </a:schemeClr>
                        </a:solidFill>
                        <a:ln w="6350">
                          <a:solidFill>
                            <a:schemeClr val="bg2">
                              <a:lumMod val="75000"/>
                            </a:schemeClr>
                          </a:solidFill>
                        </a:ln>
                      </wps:spPr>
                      <wps:txbx>
                        <w:txbxContent>
                          <w:p w14:paraId="0EEAA107" w14:textId="580FF9E8" w:rsidR="0080733A" w:rsidRPr="00B52CF9" w:rsidRDefault="0080733A" w:rsidP="0080733A">
                            <w:pPr>
                              <w:spacing w:after="0" w:line="240" w:lineRule="auto"/>
                              <w:ind w:hanging="142"/>
                              <w:rPr>
                                <w:sz w:val="18"/>
                                <w:szCs w:val="18"/>
                                <w:lang w:val="en-GB"/>
                              </w:rPr>
                            </w:pPr>
                            <w:r>
                              <w:rPr>
                                <w:sz w:val="18"/>
                                <w:szCs w:val="18"/>
                                <w:lang w:val="en-GB"/>
                              </w:rPr>
                              <w:t>Review of risk management</w:t>
                            </w:r>
                          </w:p>
                          <w:p w14:paraId="5A3040B0" w14:textId="5D5D2B5E" w:rsidR="0080733A" w:rsidRPr="00B52CF9" w:rsidRDefault="0080733A" w:rsidP="0080733A">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Pr>
                                <w:rFonts w:cstheme="minorHAnsi"/>
                                <w:sz w:val="14"/>
                                <w:szCs w:val="14"/>
                                <w:lang w:val="en-GB"/>
                              </w:rPr>
                              <w:t xml:space="preserve">Review of the </w:t>
                            </w:r>
                            <w:r w:rsidR="007E7673">
                              <w:rPr>
                                <w:rFonts w:cstheme="minorHAnsi"/>
                                <w:sz w:val="14"/>
                                <w:szCs w:val="14"/>
                                <w:lang w:val="en-GB"/>
                              </w:rPr>
                              <w:t>thoroughness</w:t>
                            </w:r>
                            <w:r>
                              <w:rPr>
                                <w:rFonts w:cstheme="minorHAnsi"/>
                                <w:sz w:val="14"/>
                                <w:szCs w:val="14"/>
                                <w:lang w:val="en-GB"/>
                              </w:rPr>
                              <w:t xml:space="preserve"> of controlling risk</w:t>
                            </w:r>
                            <w:r w:rsidR="007E7673">
                              <w:rPr>
                                <w:rFonts w:cstheme="minorHAnsi"/>
                                <w:sz w:val="14"/>
                                <w:szCs w:val="14"/>
                                <w:lang w:val="en-GB"/>
                              </w:rPr>
                              <w:t>s</w:t>
                            </w:r>
                          </w:p>
                          <w:p w14:paraId="082E9428" w14:textId="607BC256" w:rsidR="0080733A" w:rsidRDefault="0080733A" w:rsidP="0080733A">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w:t>
                            </w:r>
                            <w:r>
                              <w:rPr>
                                <w:rFonts w:cstheme="minorHAnsi"/>
                                <w:sz w:val="14"/>
                                <w:szCs w:val="14"/>
                                <w:lang w:val="en-GB"/>
                              </w:rPr>
                              <w:t xml:space="preserve">Assessment </w:t>
                            </w:r>
                            <w:r w:rsidR="009B6A18">
                              <w:rPr>
                                <w:rFonts w:cstheme="minorHAnsi"/>
                                <w:sz w:val="14"/>
                                <w:szCs w:val="14"/>
                                <w:lang w:val="en-GB"/>
                              </w:rPr>
                              <w:t>of acceptability of residual risks</w:t>
                            </w:r>
                          </w:p>
                          <w:p w14:paraId="0A2C5BF0" w14:textId="57165ED7" w:rsidR="0080733A" w:rsidRPr="00B52CF9" w:rsidRDefault="0080733A" w:rsidP="009B6A18">
                            <w:pPr>
                              <w:pStyle w:val="Listenabsatz"/>
                              <w:spacing w:after="0" w:line="240" w:lineRule="auto"/>
                              <w:ind w:left="0" w:hanging="142"/>
                              <w:contextualSpacing w:val="0"/>
                              <w:rPr>
                                <w:sz w:val="14"/>
                                <w:szCs w:val="14"/>
                                <w:lang w:val="en-GB"/>
                              </w:rPr>
                            </w:pPr>
                            <w:r w:rsidRPr="00B52CF9">
                              <w:rPr>
                                <w:rFonts w:cstheme="minorHAnsi"/>
                                <w:sz w:val="14"/>
                                <w:szCs w:val="14"/>
                                <w:lang w:val="en-GB"/>
                              </w:rPr>
                              <w:t>●</w:t>
                            </w:r>
                            <w:r>
                              <w:rPr>
                                <w:rFonts w:cstheme="minorHAnsi"/>
                                <w:sz w:val="14"/>
                                <w:szCs w:val="14"/>
                                <w:lang w:val="en-GB"/>
                              </w:rPr>
                              <w:t xml:space="preserve"> </w:t>
                            </w:r>
                            <w:r w:rsidR="009B6A18">
                              <w:rPr>
                                <w:rFonts w:cstheme="minorHAnsi"/>
                                <w:sz w:val="14"/>
                                <w:szCs w:val="14"/>
                                <w:lang w:val="en-GB"/>
                              </w:rPr>
                              <w:t>Approval of risk management report</w:t>
                            </w:r>
                          </w:p>
                          <w:p w14:paraId="62CFCCFE" w14:textId="77777777" w:rsidR="0080733A" w:rsidRPr="00B52CF9" w:rsidRDefault="0080733A" w:rsidP="0080733A">
                            <w:pPr>
                              <w:pStyle w:val="Listenabsatz"/>
                              <w:spacing w:after="0"/>
                              <w:ind w:left="-142" w:hanging="142"/>
                              <w:contextualSpacing w:val="0"/>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F4F803C" id="Textfeld 8" o:spid="_x0000_s1031" type="#_x0000_t202" style="position:absolute;margin-left:26.55pt;margin-top:361.5pt;width:164.4pt;height:4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" fillcolor="#f2f2f2 [3052]" strokecolor="#aeaaaa [2414]" strokeweight=".5pt">
                <v:textbox>
                  <w:txbxContent>
                    <w:p w14:paraId="0EEAA107" w14:textId="580FF9E8" w:rsidR="0080733A" w:rsidRPr="00B52CF9" w:rsidRDefault="0080733A" w:rsidP="0080733A">
                      <w:pPr>
                        <w:spacing w:after="0" w:line="240" w:lineRule="auto"/>
                        <w:ind w:hanging="142"/>
                        <w:rPr>
                          <w:sz w:val="18"/>
                          <w:szCs w:val="18"/>
                          <w:lang w:val="en-GB"/>
                        </w:rPr>
                      </w:pPr>
                      <w:r>
                        <w:rPr>
                          <w:sz w:val="18"/>
                          <w:szCs w:val="18"/>
                          <w:lang w:val="en-GB"/>
                        </w:rPr>
                        <w:t>Review of risk management</w:t>
                      </w:r>
                    </w:p>
                    <w:p w14:paraId="5A3040B0" w14:textId="5D5D2B5E" w:rsidR="0080733A" w:rsidRPr="00B52CF9" w:rsidRDefault="0080733A" w:rsidP="0080733A">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Pr>
                          <w:rFonts w:cstheme="minorHAnsi"/>
                          <w:sz w:val="14"/>
                          <w:szCs w:val="14"/>
                          <w:lang w:val="en-GB"/>
                        </w:rPr>
                        <w:t xml:space="preserve">Review of the </w:t>
                      </w:r>
                      <w:r w:rsidR="007E7673">
                        <w:rPr>
                          <w:rFonts w:cstheme="minorHAnsi"/>
                          <w:sz w:val="14"/>
                          <w:szCs w:val="14"/>
                          <w:lang w:val="en-GB"/>
                        </w:rPr>
                        <w:t>thoroughness</w:t>
                      </w:r>
                      <w:r>
                        <w:rPr>
                          <w:rFonts w:cstheme="minorHAnsi"/>
                          <w:sz w:val="14"/>
                          <w:szCs w:val="14"/>
                          <w:lang w:val="en-GB"/>
                        </w:rPr>
                        <w:t xml:space="preserve"> of controlling risk</w:t>
                      </w:r>
                      <w:r w:rsidR="007E7673">
                        <w:rPr>
                          <w:rFonts w:cstheme="minorHAnsi"/>
                          <w:sz w:val="14"/>
                          <w:szCs w:val="14"/>
                          <w:lang w:val="en-GB"/>
                        </w:rPr>
                        <w:t>s</w:t>
                      </w:r>
                    </w:p>
                    <w:p w14:paraId="082E9428" w14:textId="607BC256" w:rsidR="0080733A" w:rsidRDefault="0080733A" w:rsidP="0080733A">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w:t>
                      </w:r>
                      <w:r>
                        <w:rPr>
                          <w:rFonts w:cstheme="minorHAnsi"/>
                          <w:sz w:val="14"/>
                          <w:szCs w:val="14"/>
                          <w:lang w:val="en-GB"/>
                        </w:rPr>
                        <w:t xml:space="preserve">Assessment </w:t>
                      </w:r>
                      <w:r w:rsidR="009B6A18">
                        <w:rPr>
                          <w:rFonts w:cstheme="minorHAnsi"/>
                          <w:sz w:val="14"/>
                          <w:szCs w:val="14"/>
                          <w:lang w:val="en-GB"/>
                        </w:rPr>
                        <w:t>of acceptability of residual risks</w:t>
                      </w:r>
                    </w:p>
                    <w:p w14:paraId="0A2C5BF0" w14:textId="57165ED7" w:rsidR="0080733A" w:rsidRPr="00B52CF9" w:rsidRDefault="0080733A" w:rsidP="009B6A18">
                      <w:pPr>
                        <w:pStyle w:val="Listenabsatz"/>
                        <w:spacing w:after="0" w:line="240" w:lineRule="auto"/>
                        <w:ind w:left="0" w:hanging="142"/>
                        <w:contextualSpacing w:val="0"/>
                        <w:rPr>
                          <w:sz w:val="14"/>
                          <w:szCs w:val="14"/>
                          <w:lang w:val="en-GB"/>
                        </w:rPr>
                      </w:pPr>
                      <w:r w:rsidRPr="00B52CF9">
                        <w:rPr>
                          <w:rFonts w:cstheme="minorHAnsi"/>
                          <w:sz w:val="14"/>
                          <w:szCs w:val="14"/>
                          <w:lang w:val="en-GB"/>
                        </w:rPr>
                        <w:t>●</w:t>
                      </w:r>
                      <w:r>
                        <w:rPr>
                          <w:rFonts w:cstheme="minorHAnsi"/>
                          <w:sz w:val="14"/>
                          <w:szCs w:val="14"/>
                          <w:lang w:val="en-GB"/>
                        </w:rPr>
                        <w:t xml:space="preserve"> </w:t>
                      </w:r>
                      <w:r w:rsidR="009B6A18">
                        <w:rPr>
                          <w:rFonts w:cstheme="minorHAnsi"/>
                          <w:sz w:val="14"/>
                          <w:szCs w:val="14"/>
                          <w:lang w:val="en-GB"/>
                        </w:rPr>
                        <w:t>Approval of risk management report</w:t>
                      </w:r>
                    </w:p>
                    <w:p w14:paraId="62CFCCFE" w14:textId="77777777" w:rsidR="0080733A" w:rsidRPr="00B52CF9" w:rsidRDefault="0080733A" w:rsidP="0080733A">
                      <w:pPr>
                        <w:pStyle w:val="Listenabsatz"/>
                        <w:spacing w:after="0"/>
                        <w:ind w:left="-142" w:hanging="142"/>
                        <w:contextualSpacing w:val="0"/>
                        <w:rPr>
                          <w:sz w:val="14"/>
                          <w:szCs w:val="14"/>
                          <w:lang w:val="en-GB"/>
                        </w:rPr>
                      </w:pPr>
                    </w:p>
                  </w:txbxContent>
                </v:textbox>
              </v:shape>
            </w:pict>
          </mc:Fallback>
        </mc:AlternateContent>
      </w:r>
      <w:r w:rsidR="00CD7103">
        <w:rPr>
          <w:noProof/>
          <w:lang w:val="en-GB" w:eastAsia="de-DE"/>
        </w:rPr>
        <mc:AlternateContent>
          <mc:Choice Requires="wps">
            <w:drawing>
              <wp:anchor distT="0" distB="0" distL="114300" distR="114300" simplePos="0" relativeHeight="251668480" behindDoc="0" locked="0" layoutInCell="1" allowOverlap="1" wp14:anchorId="2EBDABD2" wp14:editId="099DD0CA">
                <wp:simplePos x="0" y="0"/>
                <wp:positionH relativeFrom="column">
                  <wp:posOffset>336527</wp:posOffset>
                </wp:positionH>
                <wp:positionV relativeFrom="paragraph">
                  <wp:posOffset>3312160</wp:posOffset>
                </wp:positionV>
                <wp:extent cx="2087792" cy="1109966"/>
                <wp:effectExtent l="0" t="0" r="27305" b="14605"/>
                <wp:wrapNone/>
                <wp:docPr id="7" name="Textfeld 7"/>
                <wp:cNvGraphicFramePr/>
                <a:graphic xmlns:a="http://schemas.openxmlformats.org/drawingml/2006/main">
                  <a:graphicData uri="http://schemas.microsoft.com/office/word/2010/wordprocessingShape">
                    <wps:wsp>
                      <wps:cNvSpPr txBox="1"/>
                      <wps:spPr>
                        <a:xfrm>
                          <a:off x="0" y="0"/>
                          <a:ext cx="2087792" cy="1109966"/>
                        </a:xfrm>
                        <a:prstGeom prst="rect">
                          <a:avLst/>
                        </a:prstGeom>
                        <a:solidFill>
                          <a:schemeClr val="bg1">
                            <a:lumMod val="95000"/>
                          </a:schemeClr>
                        </a:solidFill>
                        <a:ln w="6350">
                          <a:solidFill>
                            <a:schemeClr val="bg2">
                              <a:lumMod val="75000"/>
                            </a:schemeClr>
                          </a:solidFill>
                        </a:ln>
                      </wps:spPr>
                      <wps:txbx>
                        <w:txbxContent>
                          <w:p w14:paraId="7194ADEA" w14:textId="0AC4351B" w:rsidR="00CD7103" w:rsidRPr="00B52CF9" w:rsidRDefault="00CD7103" w:rsidP="00CD7103">
                            <w:pPr>
                              <w:spacing w:after="0" w:line="240" w:lineRule="auto"/>
                              <w:ind w:hanging="142"/>
                              <w:rPr>
                                <w:sz w:val="18"/>
                                <w:szCs w:val="18"/>
                                <w:lang w:val="en-GB"/>
                              </w:rPr>
                            </w:pPr>
                            <w:r>
                              <w:rPr>
                                <w:sz w:val="18"/>
                                <w:szCs w:val="18"/>
                                <w:lang w:val="en-GB"/>
                              </w:rPr>
                              <w:t>Controlling risk</w:t>
                            </w:r>
                          </w:p>
                          <w:p w14:paraId="6FE0D022" w14:textId="597A4DD2" w:rsidR="00CD7103" w:rsidRPr="00B52CF9" w:rsidRDefault="00CD7103" w:rsidP="00CD7103">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Pr>
                                <w:rFonts w:cstheme="minorHAnsi"/>
                                <w:sz w:val="14"/>
                                <w:szCs w:val="14"/>
                                <w:lang w:val="en-GB"/>
                              </w:rPr>
                              <w:t xml:space="preserve">Decision whether risk reduction is </w:t>
                            </w:r>
                            <w:r w:rsidR="00501487">
                              <w:rPr>
                                <w:rFonts w:cstheme="minorHAnsi"/>
                                <w:sz w:val="14"/>
                                <w:szCs w:val="14"/>
                                <w:lang w:val="en-GB"/>
                              </w:rPr>
                              <w:t>needed</w:t>
                            </w:r>
                          </w:p>
                          <w:p w14:paraId="1E9D985F" w14:textId="168214A7" w:rsidR="00CD7103" w:rsidRDefault="00CD7103" w:rsidP="00CD710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w:t>
                            </w:r>
                            <w:r>
                              <w:rPr>
                                <w:rFonts w:cstheme="minorHAnsi"/>
                                <w:sz w:val="14"/>
                                <w:szCs w:val="14"/>
                                <w:lang w:val="en-GB"/>
                              </w:rPr>
                              <w:t>Establishment of options for controlling risk</w:t>
                            </w:r>
                          </w:p>
                          <w:p w14:paraId="1EEB3D45" w14:textId="321A3C32" w:rsidR="00CD7103" w:rsidRDefault="00CD7103" w:rsidP="00CD710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Verification of the effectiveness of risk control measures </w:t>
                            </w:r>
                          </w:p>
                          <w:p w14:paraId="419A41DB" w14:textId="34D70B4F" w:rsidR="00CD7103" w:rsidRDefault="00CD7103" w:rsidP="00CD710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Assessment of residual risks</w:t>
                            </w:r>
                          </w:p>
                          <w:p w14:paraId="2232A521" w14:textId="0F2BA8F8" w:rsidR="00CD7103" w:rsidRPr="00B52CF9" w:rsidRDefault="00CD7103" w:rsidP="00CD7103">
                            <w:pPr>
                              <w:pStyle w:val="Listenabsatz"/>
                              <w:spacing w:after="0" w:line="240" w:lineRule="auto"/>
                              <w:ind w:left="0" w:hanging="142"/>
                              <w:contextualSpacing w:val="0"/>
                              <w:rPr>
                                <w:sz w:val="14"/>
                                <w:szCs w:val="14"/>
                                <w:lang w:val="en-GB"/>
                              </w:rPr>
                            </w:pPr>
                            <w:r w:rsidRPr="00B52CF9">
                              <w:rPr>
                                <w:rFonts w:cstheme="minorHAnsi"/>
                                <w:sz w:val="14"/>
                                <w:szCs w:val="14"/>
                                <w:lang w:val="en-GB"/>
                              </w:rPr>
                              <w:t>●</w:t>
                            </w:r>
                            <w:r>
                              <w:rPr>
                                <w:rFonts w:cstheme="minorHAnsi"/>
                                <w:sz w:val="14"/>
                                <w:szCs w:val="14"/>
                                <w:lang w:val="en-GB"/>
                              </w:rPr>
                              <w:t xml:space="preserve"> Examination of whether risk control measures lead to new risks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BDABD2" id="Textfeld 7" o:spid="_x0000_s1032" type="#_x0000_t202" style="position:absolute;margin-left:26.5pt;margin-top:260.8pt;width:164.4pt;height:8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" fillcolor="#f2f2f2 [3052]" strokecolor="#aeaaaa [2414]" strokeweight=".5pt">
                <v:textbox>
                  <w:txbxContent>
                    <w:p w14:paraId="7194ADEA" w14:textId="0AC4351B" w:rsidR="00CD7103" w:rsidRPr="00B52CF9" w:rsidRDefault="00CD7103" w:rsidP="00CD7103">
                      <w:pPr>
                        <w:spacing w:after="0" w:line="240" w:lineRule="auto"/>
                        <w:ind w:hanging="142"/>
                        <w:rPr>
                          <w:sz w:val="18"/>
                          <w:szCs w:val="18"/>
                          <w:lang w:val="en-GB"/>
                        </w:rPr>
                      </w:pPr>
                      <w:r>
                        <w:rPr>
                          <w:sz w:val="18"/>
                          <w:szCs w:val="18"/>
                          <w:lang w:val="en-GB"/>
                        </w:rPr>
                        <w:t>Controlling risk</w:t>
                      </w:r>
                    </w:p>
                    <w:p w14:paraId="6FE0D022" w14:textId="597A4DD2" w:rsidR="00CD7103" w:rsidRPr="00B52CF9" w:rsidRDefault="00CD7103" w:rsidP="00CD7103">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Pr>
                          <w:rFonts w:cstheme="minorHAnsi"/>
                          <w:sz w:val="14"/>
                          <w:szCs w:val="14"/>
                          <w:lang w:val="en-GB"/>
                        </w:rPr>
                        <w:t xml:space="preserve">Decision whether risk reduction is </w:t>
                      </w:r>
                      <w:r w:rsidR="00501487">
                        <w:rPr>
                          <w:rFonts w:cstheme="minorHAnsi"/>
                          <w:sz w:val="14"/>
                          <w:szCs w:val="14"/>
                          <w:lang w:val="en-GB"/>
                        </w:rPr>
                        <w:t>needed</w:t>
                      </w:r>
                    </w:p>
                    <w:p w14:paraId="1E9D985F" w14:textId="168214A7" w:rsidR="00CD7103" w:rsidRDefault="00CD7103" w:rsidP="00CD710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w:t>
                      </w:r>
                      <w:r>
                        <w:rPr>
                          <w:rFonts w:cstheme="minorHAnsi"/>
                          <w:sz w:val="14"/>
                          <w:szCs w:val="14"/>
                          <w:lang w:val="en-GB"/>
                        </w:rPr>
                        <w:t>Establishment of options for controlling risk</w:t>
                      </w:r>
                    </w:p>
                    <w:p w14:paraId="1EEB3D45" w14:textId="321A3C32" w:rsidR="00CD7103" w:rsidRDefault="00CD7103" w:rsidP="00CD710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Verification of the effectiveness of risk control measures </w:t>
                      </w:r>
                    </w:p>
                    <w:p w14:paraId="419A41DB" w14:textId="34D70B4F" w:rsidR="00CD7103" w:rsidRDefault="00CD7103" w:rsidP="00CD710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Assessment of residual risks</w:t>
                      </w:r>
                    </w:p>
                    <w:p w14:paraId="2232A521" w14:textId="0F2BA8F8" w:rsidR="00CD7103" w:rsidRPr="00B52CF9" w:rsidRDefault="00CD7103" w:rsidP="00CD7103">
                      <w:pPr>
                        <w:pStyle w:val="Listenabsatz"/>
                        <w:spacing w:after="0" w:line="240" w:lineRule="auto"/>
                        <w:ind w:left="0" w:hanging="142"/>
                        <w:contextualSpacing w:val="0"/>
                        <w:rPr>
                          <w:sz w:val="14"/>
                          <w:szCs w:val="14"/>
                          <w:lang w:val="en-GB"/>
                        </w:rPr>
                      </w:pPr>
                      <w:r w:rsidRPr="00B52CF9">
                        <w:rPr>
                          <w:rFonts w:cstheme="minorHAnsi"/>
                          <w:sz w:val="14"/>
                          <w:szCs w:val="14"/>
                          <w:lang w:val="en-GB"/>
                        </w:rPr>
                        <w:t>●</w:t>
                      </w:r>
                      <w:r>
                        <w:rPr>
                          <w:rFonts w:cstheme="minorHAnsi"/>
                          <w:sz w:val="14"/>
                          <w:szCs w:val="14"/>
                          <w:lang w:val="en-GB"/>
                        </w:rPr>
                        <w:t xml:space="preserve"> Examination of whether risk control measures lead to new risks </w:t>
                      </w:r>
                    </w:p>
                  </w:txbxContent>
                </v:textbox>
              </v:shape>
            </w:pict>
          </mc:Fallback>
        </mc:AlternateContent>
      </w:r>
      <w:r w:rsidR="008D7333">
        <w:rPr>
          <w:noProof/>
          <w:lang w:val="en-GB" w:eastAsia="de-DE"/>
        </w:rPr>
        <mc:AlternateContent>
          <mc:Choice Requires="wps">
            <w:drawing>
              <wp:anchor distT="0" distB="0" distL="114300" distR="114300" simplePos="0" relativeHeight="251666432" behindDoc="0" locked="0" layoutInCell="1" allowOverlap="1" wp14:anchorId="54974220" wp14:editId="3A43D5A4">
                <wp:simplePos x="0" y="0"/>
                <wp:positionH relativeFrom="column">
                  <wp:posOffset>337005</wp:posOffset>
                </wp:positionH>
                <wp:positionV relativeFrom="paragraph">
                  <wp:posOffset>2699010</wp:posOffset>
                </wp:positionV>
                <wp:extent cx="2087792" cy="449272"/>
                <wp:effectExtent l="0" t="0" r="27305" b="27305"/>
                <wp:wrapNone/>
                <wp:docPr id="6" name="Textfeld 6"/>
                <wp:cNvGraphicFramePr/>
                <a:graphic xmlns:a="http://schemas.openxmlformats.org/drawingml/2006/main">
                  <a:graphicData uri="http://schemas.microsoft.com/office/word/2010/wordprocessingShape">
                    <wps:wsp>
                      <wps:cNvSpPr txBox="1"/>
                      <wps:spPr>
                        <a:xfrm>
                          <a:off x="0" y="0"/>
                          <a:ext cx="2087792" cy="449272"/>
                        </a:xfrm>
                        <a:prstGeom prst="rect">
                          <a:avLst/>
                        </a:prstGeom>
                        <a:solidFill>
                          <a:schemeClr val="bg1">
                            <a:lumMod val="95000"/>
                          </a:schemeClr>
                        </a:solidFill>
                        <a:ln w="6350">
                          <a:solidFill>
                            <a:schemeClr val="bg2">
                              <a:lumMod val="75000"/>
                            </a:schemeClr>
                          </a:solidFill>
                        </a:ln>
                      </wps:spPr>
                      <wps:txbx>
                        <w:txbxContent>
                          <w:p w14:paraId="6948E095" w14:textId="25D55EF1" w:rsidR="008D7333" w:rsidRPr="00B52CF9" w:rsidRDefault="008D7333" w:rsidP="008D7333">
                            <w:pPr>
                              <w:spacing w:after="0" w:line="240" w:lineRule="auto"/>
                              <w:ind w:hanging="142"/>
                              <w:rPr>
                                <w:sz w:val="18"/>
                                <w:szCs w:val="18"/>
                                <w:lang w:val="en-GB"/>
                              </w:rPr>
                            </w:pPr>
                            <w:r w:rsidRPr="00B52CF9">
                              <w:rPr>
                                <w:sz w:val="18"/>
                                <w:szCs w:val="18"/>
                                <w:lang w:val="en-GB"/>
                              </w:rPr>
                              <w:t xml:space="preserve">Risk </w:t>
                            </w:r>
                            <w:r>
                              <w:rPr>
                                <w:sz w:val="18"/>
                                <w:szCs w:val="18"/>
                                <w:lang w:val="en-GB"/>
                              </w:rPr>
                              <w:t>assessment</w:t>
                            </w:r>
                          </w:p>
                          <w:p w14:paraId="2BDCB2D6" w14:textId="65B6430D" w:rsidR="008D7333" w:rsidRPr="00B52CF9" w:rsidRDefault="008D7333" w:rsidP="008D7333">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Pr>
                                <w:rFonts w:cstheme="minorHAnsi"/>
                                <w:sz w:val="14"/>
                                <w:szCs w:val="14"/>
                                <w:lang w:val="en-GB"/>
                              </w:rPr>
                              <w:t xml:space="preserve">Assessment of risk acceptability </w:t>
                            </w:r>
                          </w:p>
                          <w:p w14:paraId="4CC57523" w14:textId="634A83B9" w:rsidR="008D7333" w:rsidRDefault="008D7333" w:rsidP="008D733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w:t>
                            </w:r>
                            <w:r>
                              <w:rPr>
                                <w:rFonts w:cstheme="minorHAnsi"/>
                                <w:sz w:val="14"/>
                                <w:szCs w:val="14"/>
                                <w:lang w:val="en-GB"/>
                              </w:rPr>
                              <w:t>Risk-benefit analysis</w:t>
                            </w:r>
                          </w:p>
                          <w:p w14:paraId="64A0E7B6" w14:textId="4487CA88" w:rsidR="008D7333" w:rsidRPr="00B52CF9" w:rsidRDefault="008D7333" w:rsidP="008D7333">
                            <w:pPr>
                              <w:pStyle w:val="Listenabsatz"/>
                              <w:spacing w:after="0" w:line="240" w:lineRule="auto"/>
                              <w:ind w:left="0" w:hanging="142"/>
                              <w:contextualSpacing w:val="0"/>
                              <w:rPr>
                                <w:sz w:val="14"/>
                                <w:szCs w:val="14"/>
                                <w:lang w:val="en-GB"/>
                              </w:rPr>
                            </w:pPr>
                          </w:p>
                          <w:p w14:paraId="0BE619A5" w14:textId="77777777" w:rsidR="008D7333" w:rsidRPr="00B52CF9" w:rsidRDefault="008D7333" w:rsidP="008D7333">
                            <w:pPr>
                              <w:pStyle w:val="Listenabsatz"/>
                              <w:spacing w:after="0"/>
                              <w:ind w:left="-142" w:hanging="142"/>
                              <w:contextualSpacing w:val="0"/>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974220" id="Textfeld 6" o:spid="_x0000_s1033" type="#_x0000_t202" style="position:absolute;margin-left:26.55pt;margin-top:212.5pt;width:164.4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" fillcolor="#f2f2f2 [3052]" strokecolor="#aeaaaa [2414]" strokeweight=".5pt">
                <v:textbox>
                  <w:txbxContent>
                    <w:p w14:paraId="6948E095" w14:textId="25D55EF1" w:rsidR="008D7333" w:rsidRPr="00B52CF9" w:rsidRDefault="008D7333" w:rsidP="008D7333">
                      <w:pPr>
                        <w:spacing w:after="0" w:line="240" w:lineRule="auto"/>
                        <w:ind w:hanging="142"/>
                        <w:rPr>
                          <w:sz w:val="18"/>
                          <w:szCs w:val="18"/>
                          <w:lang w:val="en-GB"/>
                        </w:rPr>
                      </w:pPr>
                      <w:r w:rsidRPr="00B52CF9">
                        <w:rPr>
                          <w:sz w:val="18"/>
                          <w:szCs w:val="18"/>
                          <w:lang w:val="en-GB"/>
                        </w:rPr>
                        <w:t xml:space="preserve">Risk </w:t>
                      </w:r>
                      <w:r>
                        <w:rPr>
                          <w:sz w:val="18"/>
                          <w:szCs w:val="18"/>
                          <w:lang w:val="en-GB"/>
                        </w:rPr>
                        <w:t>assessment</w:t>
                      </w:r>
                    </w:p>
                    <w:p w14:paraId="2BDCB2D6" w14:textId="65B6430D" w:rsidR="008D7333" w:rsidRPr="00B52CF9" w:rsidRDefault="008D7333" w:rsidP="008D7333">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Pr>
                          <w:rFonts w:cstheme="minorHAnsi"/>
                          <w:sz w:val="14"/>
                          <w:szCs w:val="14"/>
                          <w:lang w:val="en-GB"/>
                        </w:rPr>
                        <w:t xml:space="preserve">Assessment of risk acceptability </w:t>
                      </w:r>
                    </w:p>
                    <w:p w14:paraId="4CC57523" w14:textId="634A83B9" w:rsidR="008D7333" w:rsidRDefault="008D7333" w:rsidP="008D733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w:t>
                      </w:r>
                      <w:r>
                        <w:rPr>
                          <w:rFonts w:cstheme="minorHAnsi"/>
                          <w:sz w:val="14"/>
                          <w:szCs w:val="14"/>
                          <w:lang w:val="en-GB"/>
                        </w:rPr>
                        <w:t>Risk-benefit analysis</w:t>
                      </w:r>
                    </w:p>
                    <w:p w14:paraId="64A0E7B6" w14:textId="4487CA88" w:rsidR="008D7333" w:rsidRPr="00B52CF9" w:rsidRDefault="008D7333" w:rsidP="008D7333">
                      <w:pPr>
                        <w:pStyle w:val="Listenabsatz"/>
                        <w:spacing w:after="0" w:line="240" w:lineRule="auto"/>
                        <w:ind w:left="0" w:hanging="142"/>
                        <w:contextualSpacing w:val="0"/>
                        <w:rPr>
                          <w:sz w:val="14"/>
                          <w:szCs w:val="14"/>
                          <w:lang w:val="en-GB"/>
                        </w:rPr>
                      </w:pPr>
                    </w:p>
                    <w:p w14:paraId="0BE619A5" w14:textId="77777777" w:rsidR="008D7333" w:rsidRPr="00B52CF9" w:rsidRDefault="008D7333" w:rsidP="008D7333">
                      <w:pPr>
                        <w:pStyle w:val="Listenabsatz"/>
                        <w:spacing w:after="0"/>
                        <w:ind w:left="-142" w:hanging="142"/>
                        <w:contextualSpacing w:val="0"/>
                        <w:rPr>
                          <w:sz w:val="14"/>
                          <w:szCs w:val="14"/>
                          <w:lang w:val="en-GB"/>
                        </w:rPr>
                      </w:pPr>
                    </w:p>
                  </w:txbxContent>
                </v:textbox>
              </v:shape>
            </w:pict>
          </mc:Fallback>
        </mc:AlternateContent>
      </w:r>
      <w:r w:rsidR="008D7333">
        <w:rPr>
          <w:noProof/>
          <w:lang w:val="en-GB" w:eastAsia="de-DE"/>
        </w:rPr>
        <mc:AlternateContent>
          <mc:Choice Requires="wps">
            <w:drawing>
              <wp:anchor distT="0" distB="0" distL="114300" distR="114300" simplePos="0" relativeHeight="251662336" behindDoc="0" locked="0" layoutInCell="1" allowOverlap="1" wp14:anchorId="3C78D78C" wp14:editId="1C689B14">
                <wp:simplePos x="0" y="0"/>
                <wp:positionH relativeFrom="column">
                  <wp:posOffset>336550</wp:posOffset>
                </wp:positionH>
                <wp:positionV relativeFrom="paragraph">
                  <wp:posOffset>725794</wp:posOffset>
                </wp:positionV>
                <wp:extent cx="2087245" cy="893257"/>
                <wp:effectExtent l="0" t="0" r="27305" b="21590"/>
                <wp:wrapNone/>
                <wp:docPr id="4" name="Textfeld 4"/>
                <wp:cNvGraphicFramePr/>
                <a:graphic xmlns:a="http://schemas.openxmlformats.org/drawingml/2006/main">
                  <a:graphicData uri="http://schemas.microsoft.com/office/word/2010/wordprocessingShape">
                    <wps:wsp>
                      <wps:cNvSpPr txBox="1"/>
                      <wps:spPr>
                        <a:xfrm>
                          <a:off x="0" y="0"/>
                          <a:ext cx="2087245" cy="893257"/>
                        </a:xfrm>
                        <a:prstGeom prst="rect">
                          <a:avLst/>
                        </a:prstGeom>
                        <a:solidFill>
                          <a:schemeClr val="bg1">
                            <a:lumMod val="95000"/>
                          </a:schemeClr>
                        </a:solidFill>
                        <a:ln w="6350">
                          <a:solidFill>
                            <a:schemeClr val="bg2">
                              <a:lumMod val="75000"/>
                            </a:schemeClr>
                          </a:solidFill>
                        </a:ln>
                      </wps:spPr>
                      <wps:txbx>
                        <w:txbxContent>
                          <w:p w14:paraId="71A1206D" w14:textId="4D65EF5B" w:rsidR="00B52CF9" w:rsidRPr="00B52CF9" w:rsidRDefault="00CD7631" w:rsidP="008D7333">
                            <w:pPr>
                              <w:spacing w:after="0" w:line="240" w:lineRule="auto"/>
                              <w:ind w:hanging="142"/>
                              <w:rPr>
                                <w:sz w:val="18"/>
                                <w:szCs w:val="18"/>
                                <w:lang w:val="en-GB"/>
                              </w:rPr>
                            </w:pPr>
                            <w:r w:rsidRPr="00B52CF9">
                              <w:rPr>
                                <w:sz w:val="18"/>
                                <w:szCs w:val="18"/>
                                <w:lang w:val="en-GB"/>
                              </w:rPr>
                              <w:t>Risk management plan</w:t>
                            </w:r>
                          </w:p>
                          <w:p w14:paraId="7FE16B5D" w14:textId="46B63902" w:rsidR="00CD7631" w:rsidRPr="00B52CF9" w:rsidRDefault="00B52CF9" w:rsidP="008D7333">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sidRPr="00B52CF9">
                              <w:rPr>
                                <w:sz w:val="14"/>
                                <w:szCs w:val="14"/>
                                <w:lang w:val="en-GB"/>
                              </w:rPr>
                              <w:t>Determination of scope of risk analysis</w:t>
                            </w:r>
                          </w:p>
                          <w:p w14:paraId="57B5CDED" w14:textId="41343C72" w:rsidR="00B52CF9" w:rsidRDefault="00B52CF9" w:rsidP="008D733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Allocation of responsibilities and </w:t>
                            </w:r>
                            <w:r>
                              <w:rPr>
                                <w:rFonts w:cstheme="minorHAnsi"/>
                                <w:sz w:val="14"/>
                                <w:szCs w:val="14"/>
                                <w:lang w:val="en-GB"/>
                              </w:rPr>
                              <w:t>authorisations</w:t>
                            </w:r>
                          </w:p>
                          <w:p w14:paraId="0BFFAA2C" w14:textId="22A36E94" w:rsidR="00B52CF9" w:rsidRDefault="00B52CF9" w:rsidP="008D733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Specification of </w:t>
                            </w:r>
                            <w:r w:rsidR="00F97C13">
                              <w:rPr>
                                <w:rFonts w:cstheme="minorHAnsi"/>
                                <w:sz w:val="14"/>
                                <w:szCs w:val="14"/>
                                <w:lang w:val="en-GB"/>
                              </w:rPr>
                              <w:t>risk management reviews</w:t>
                            </w:r>
                          </w:p>
                          <w:p w14:paraId="118C63BC" w14:textId="77777777" w:rsidR="00F97C13" w:rsidRDefault="00F97C13" w:rsidP="008D733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Determination of acceptability criteria for risks</w:t>
                            </w:r>
                          </w:p>
                          <w:p w14:paraId="72D5F3C9" w14:textId="547088A1" w:rsidR="00F97C13" w:rsidRPr="00B52CF9" w:rsidRDefault="00F97C13" w:rsidP="008D7333">
                            <w:pPr>
                              <w:pStyle w:val="Listenabsatz"/>
                              <w:spacing w:after="0" w:line="240" w:lineRule="auto"/>
                              <w:ind w:left="0" w:hanging="142"/>
                              <w:contextualSpacing w:val="0"/>
                              <w:rPr>
                                <w:sz w:val="14"/>
                                <w:szCs w:val="14"/>
                                <w:lang w:val="en-GB"/>
                              </w:rPr>
                            </w:pPr>
                            <w:r w:rsidRPr="00B52CF9">
                              <w:rPr>
                                <w:rFonts w:cstheme="minorHAnsi"/>
                                <w:sz w:val="14"/>
                                <w:szCs w:val="14"/>
                                <w:lang w:val="en-GB"/>
                              </w:rPr>
                              <w:t>●</w:t>
                            </w:r>
                            <w:r>
                              <w:rPr>
                                <w:rFonts w:cstheme="minorHAnsi"/>
                                <w:sz w:val="14"/>
                                <w:szCs w:val="14"/>
                                <w:lang w:val="en-GB"/>
                              </w:rPr>
                              <w:t xml:space="preserve"> Specification of verification, risk monitoring and documentation requirements </w:t>
                            </w:r>
                          </w:p>
                          <w:p w14:paraId="217F32CE" w14:textId="77777777" w:rsidR="00B52CF9" w:rsidRPr="00B52CF9" w:rsidRDefault="00B52CF9" w:rsidP="00B52CF9">
                            <w:pPr>
                              <w:pStyle w:val="Listenabsatz"/>
                              <w:spacing w:after="0"/>
                              <w:ind w:left="-142" w:hanging="142"/>
                              <w:contextualSpacing w:val="0"/>
                              <w:rPr>
                                <w:sz w:val="14"/>
                                <w:szCs w:val="1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C78D78C" id="Textfeld 4" o:spid="_x0000_s1034" type="#_x0000_t202" style="position:absolute;margin-left:26.5pt;margin-top:57.15pt;width:164.35pt;height:7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" fillcolor="#f2f2f2 [3052]" strokecolor="#aeaaaa [2414]" strokeweight=".5pt">
                <v:textbox>
                  <w:txbxContent>
                    <w:p w14:paraId="71A1206D" w14:textId="4D65EF5B" w:rsidR="00B52CF9" w:rsidRPr="00B52CF9" w:rsidRDefault="00CD7631" w:rsidP="008D7333">
                      <w:pPr>
                        <w:spacing w:after="0" w:line="240" w:lineRule="auto"/>
                        <w:ind w:hanging="142"/>
                        <w:rPr>
                          <w:sz w:val="18"/>
                          <w:szCs w:val="18"/>
                          <w:lang w:val="en-GB"/>
                        </w:rPr>
                      </w:pPr>
                      <w:r w:rsidRPr="00B52CF9">
                        <w:rPr>
                          <w:sz w:val="18"/>
                          <w:szCs w:val="18"/>
                          <w:lang w:val="en-GB"/>
                        </w:rPr>
                        <w:t>Risk management plan</w:t>
                      </w:r>
                    </w:p>
                    <w:p w14:paraId="7FE16B5D" w14:textId="46B63902" w:rsidR="00CD7631" w:rsidRPr="00B52CF9" w:rsidRDefault="00B52CF9" w:rsidP="008D7333">
                      <w:pPr>
                        <w:pStyle w:val="Listenabsatz"/>
                        <w:spacing w:after="0" w:line="240" w:lineRule="auto"/>
                        <w:ind w:left="0" w:hanging="142"/>
                        <w:contextualSpacing w:val="0"/>
                        <w:rPr>
                          <w:sz w:val="14"/>
                          <w:szCs w:val="14"/>
                          <w:lang w:val="en-GB"/>
                        </w:rPr>
                      </w:pPr>
                      <w:r w:rsidRPr="00B52CF9">
                        <w:rPr>
                          <w:rFonts w:cstheme="minorHAnsi"/>
                          <w:sz w:val="14"/>
                          <w:szCs w:val="14"/>
                          <w:lang w:val="en-GB"/>
                        </w:rPr>
                        <w:t xml:space="preserve">● </w:t>
                      </w:r>
                      <w:r w:rsidRPr="00B52CF9">
                        <w:rPr>
                          <w:sz w:val="14"/>
                          <w:szCs w:val="14"/>
                          <w:lang w:val="en-GB"/>
                        </w:rPr>
                        <w:t>Determination of scope of risk analysis</w:t>
                      </w:r>
                    </w:p>
                    <w:p w14:paraId="57B5CDED" w14:textId="41343C72" w:rsidR="00B52CF9" w:rsidRDefault="00B52CF9" w:rsidP="008D733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 xml:space="preserve">● Allocation of responsibilities and </w:t>
                      </w:r>
                      <w:r>
                        <w:rPr>
                          <w:rFonts w:cstheme="minorHAnsi"/>
                          <w:sz w:val="14"/>
                          <w:szCs w:val="14"/>
                          <w:lang w:val="en-GB"/>
                        </w:rPr>
                        <w:t>authorisations</w:t>
                      </w:r>
                    </w:p>
                    <w:p w14:paraId="0BFFAA2C" w14:textId="22A36E94" w:rsidR="00B52CF9" w:rsidRDefault="00B52CF9" w:rsidP="008D733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Specification of </w:t>
                      </w:r>
                      <w:r w:rsidR="00F97C13">
                        <w:rPr>
                          <w:rFonts w:cstheme="minorHAnsi"/>
                          <w:sz w:val="14"/>
                          <w:szCs w:val="14"/>
                          <w:lang w:val="en-GB"/>
                        </w:rPr>
                        <w:t>risk management reviews</w:t>
                      </w:r>
                    </w:p>
                    <w:p w14:paraId="118C63BC" w14:textId="77777777" w:rsidR="00F97C13" w:rsidRDefault="00F97C13" w:rsidP="008D7333">
                      <w:pPr>
                        <w:pStyle w:val="Listenabsatz"/>
                        <w:spacing w:after="0" w:line="240" w:lineRule="auto"/>
                        <w:ind w:left="0" w:hanging="142"/>
                        <w:contextualSpacing w:val="0"/>
                        <w:rPr>
                          <w:rFonts w:cstheme="minorHAnsi"/>
                          <w:sz w:val="14"/>
                          <w:szCs w:val="14"/>
                          <w:lang w:val="en-GB"/>
                        </w:rPr>
                      </w:pPr>
                      <w:r w:rsidRPr="00B52CF9">
                        <w:rPr>
                          <w:rFonts w:cstheme="minorHAnsi"/>
                          <w:sz w:val="14"/>
                          <w:szCs w:val="14"/>
                          <w:lang w:val="en-GB"/>
                        </w:rPr>
                        <w:t>●</w:t>
                      </w:r>
                      <w:r>
                        <w:rPr>
                          <w:rFonts w:cstheme="minorHAnsi"/>
                          <w:sz w:val="14"/>
                          <w:szCs w:val="14"/>
                          <w:lang w:val="en-GB"/>
                        </w:rPr>
                        <w:t xml:space="preserve"> Determination of acceptability criteria for risks</w:t>
                      </w:r>
                    </w:p>
                    <w:p w14:paraId="72D5F3C9" w14:textId="547088A1" w:rsidR="00F97C13" w:rsidRPr="00B52CF9" w:rsidRDefault="00F97C13" w:rsidP="008D7333">
                      <w:pPr>
                        <w:pStyle w:val="Listenabsatz"/>
                        <w:spacing w:after="0" w:line="240" w:lineRule="auto"/>
                        <w:ind w:left="0" w:hanging="142"/>
                        <w:contextualSpacing w:val="0"/>
                        <w:rPr>
                          <w:sz w:val="14"/>
                          <w:szCs w:val="14"/>
                          <w:lang w:val="en-GB"/>
                        </w:rPr>
                      </w:pPr>
                      <w:r w:rsidRPr="00B52CF9">
                        <w:rPr>
                          <w:rFonts w:cstheme="minorHAnsi"/>
                          <w:sz w:val="14"/>
                          <w:szCs w:val="14"/>
                          <w:lang w:val="en-GB"/>
                        </w:rPr>
                        <w:t>●</w:t>
                      </w:r>
                      <w:r>
                        <w:rPr>
                          <w:rFonts w:cstheme="minorHAnsi"/>
                          <w:sz w:val="14"/>
                          <w:szCs w:val="14"/>
                          <w:lang w:val="en-GB"/>
                        </w:rPr>
                        <w:t xml:space="preserve"> Specification of verification, risk monitoring and documentation requirements </w:t>
                      </w:r>
                    </w:p>
                    <w:p w14:paraId="217F32CE" w14:textId="77777777" w:rsidR="00B52CF9" w:rsidRPr="00B52CF9" w:rsidRDefault="00B52CF9" w:rsidP="00B52CF9">
                      <w:pPr>
                        <w:pStyle w:val="Listenabsatz"/>
                        <w:spacing w:after="0"/>
                        <w:ind w:left="-142" w:hanging="142"/>
                        <w:contextualSpacing w:val="0"/>
                        <w:rPr>
                          <w:sz w:val="14"/>
                          <w:szCs w:val="14"/>
                          <w:lang w:val="en-GB"/>
                        </w:rPr>
                      </w:pPr>
                    </w:p>
                  </w:txbxContent>
                </v:textbox>
              </v:shape>
            </w:pict>
          </mc:Fallback>
        </mc:AlternateContent>
      </w:r>
      <w:r w:rsidR="00087CA3" w:rsidRPr="006C5B12">
        <w:rPr>
          <w:noProof/>
          <w:lang w:val="en-GB" w:eastAsia="de-DE"/>
        </w:rPr>
        <w:drawing>
          <wp:inline distT="0" distB="0" distL="0" distR="0" wp14:anchorId="25458B54" wp14:editId="3AAC8996">
            <wp:extent cx="5303520" cy="6138334"/>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817" cy="6160669"/>
                    </a:xfrm>
                    <a:prstGeom prst="rect">
                      <a:avLst/>
                    </a:prstGeom>
                  </pic:spPr>
                </pic:pic>
              </a:graphicData>
            </a:graphic>
          </wp:inline>
        </w:drawing>
      </w:r>
    </w:p>
    <w:p w14:paraId="5846247B" w14:textId="6692B1BE" w:rsidR="001337F5" w:rsidRPr="006C5B12" w:rsidRDefault="00A859E9" w:rsidP="0072608A">
      <w:pPr>
        <w:rPr>
          <w:lang w:val="en-GB"/>
        </w:rPr>
      </w:pPr>
      <w:r>
        <w:rPr>
          <w:lang w:val="en-GB"/>
        </w:rPr>
        <w:t>Figure</w:t>
      </w:r>
      <w:r w:rsidR="00FA152A" w:rsidRPr="006C5B12">
        <w:rPr>
          <w:lang w:val="en-GB"/>
        </w:rPr>
        <w:t xml:space="preserve"> </w:t>
      </w:r>
      <w:r w:rsidR="00CC65EB" w:rsidRPr="006C5B12">
        <w:rPr>
          <w:noProof/>
          <w:color w:val="44546A" w:themeColor="text2"/>
          <w:sz w:val="18"/>
          <w:szCs w:val="18"/>
          <w:lang w:val="en-GB"/>
        </w:rPr>
        <w:fldChar w:fldCharType="begin"/>
      </w:r>
      <w:r w:rsidR="00CC65EB" w:rsidRPr="006C5B12">
        <w:rPr>
          <w:noProof/>
          <w:lang w:val="en-GB"/>
        </w:rPr>
        <w:instrText xml:space="preserve"> SEQ Abbildung \* ARABIC </w:instrText>
      </w:r>
      <w:r w:rsidR="00CC65EB" w:rsidRPr="006C5B12">
        <w:rPr>
          <w:noProof/>
          <w:color w:val="44546A" w:themeColor="text2"/>
          <w:sz w:val="18"/>
          <w:szCs w:val="18"/>
          <w:lang w:val="en-GB"/>
        </w:rPr>
        <w:fldChar w:fldCharType="separate"/>
      </w:r>
      <w:r w:rsidR="00087CA3" w:rsidRPr="006C5B12">
        <w:rPr>
          <w:noProof/>
          <w:lang w:val="en-GB"/>
        </w:rPr>
        <w:t>1</w:t>
      </w:r>
      <w:r w:rsidR="00CC65EB" w:rsidRPr="006C5B12">
        <w:rPr>
          <w:noProof/>
          <w:color w:val="44546A" w:themeColor="text2"/>
          <w:sz w:val="18"/>
          <w:szCs w:val="18"/>
          <w:lang w:val="en-GB"/>
        </w:rPr>
        <w:fldChar w:fldCharType="end"/>
      </w:r>
      <w:r w:rsidR="00FA152A" w:rsidRPr="006C5B12">
        <w:rPr>
          <w:lang w:val="en-GB"/>
        </w:rPr>
        <w:t xml:space="preserve"> </w:t>
      </w:r>
      <w:r>
        <w:rPr>
          <w:lang w:val="en-GB"/>
        </w:rPr>
        <w:t xml:space="preserve">Comparison of </w:t>
      </w:r>
      <w:r w:rsidR="00FA152A" w:rsidRPr="006C5B12">
        <w:rPr>
          <w:lang w:val="en-GB"/>
        </w:rPr>
        <w:t>An</w:t>
      </w:r>
      <w:r>
        <w:rPr>
          <w:lang w:val="en-GB"/>
        </w:rPr>
        <w:t>nex</w:t>
      </w:r>
      <w:r w:rsidR="00FA152A" w:rsidRPr="006C5B12">
        <w:rPr>
          <w:lang w:val="en-GB"/>
        </w:rPr>
        <w:t xml:space="preserve"> I, </w:t>
      </w:r>
      <w:r>
        <w:rPr>
          <w:lang w:val="en-GB"/>
        </w:rPr>
        <w:t>Chapter</w:t>
      </w:r>
      <w:r w:rsidR="00087CA3" w:rsidRPr="006C5B12">
        <w:rPr>
          <w:lang w:val="en-GB"/>
        </w:rPr>
        <w:t xml:space="preserve"> I</w:t>
      </w:r>
      <w:r w:rsidR="00FA152A" w:rsidRPr="006C5B12">
        <w:rPr>
          <w:lang w:val="en-GB"/>
        </w:rPr>
        <w:t xml:space="preserve">, </w:t>
      </w:r>
      <w:r>
        <w:rPr>
          <w:lang w:val="en-GB"/>
        </w:rPr>
        <w:t>Section</w:t>
      </w:r>
      <w:r w:rsidR="00FA152A" w:rsidRPr="006C5B12">
        <w:rPr>
          <w:lang w:val="en-GB"/>
        </w:rPr>
        <w:t xml:space="preserve"> 3</w:t>
      </w:r>
      <w:r w:rsidR="009B6A18">
        <w:rPr>
          <w:lang w:val="en-GB"/>
        </w:rPr>
        <w:t xml:space="preserve"> of the</w:t>
      </w:r>
      <w:r w:rsidR="00FA152A" w:rsidRPr="006C5B12">
        <w:rPr>
          <w:lang w:val="en-GB"/>
        </w:rPr>
        <w:t xml:space="preserve"> </w:t>
      </w:r>
      <w:r w:rsidR="009B6A18" w:rsidRPr="006C5B12">
        <w:rPr>
          <w:lang w:val="en-GB"/>
        </w:rPr>
        <w:t xml:space="preserve">IVDR </w:t>
      </w:r>
      <w:r>
        <w:rPr>
          <w:lang w:val="en-GB"/>
        </w:rPr>
        <w:t>to</w:t>
      </w:r>
      <w:r w:rsidR="00FA152A" w:rsidRPr="006C5B12">
        <w:rPr>
          <w:lang w:val="en-GB"/>
        </w:rPr>
        <w:t xml:space="preserve"> EN ISO 22367:2020</w:t>
      </w:r>
    </w:p>
    <w:p w14:paraId="51E3E57D" w14:textId="77777777" w:rsidR="009A736C" w:rsidRDefault="009A736C">
      <w:pPr>
        <w:rPr>
          <w:b/>
          <w:sz w:val="28"/>
          <w:szCs w:val="28"/>
          <w:u w:val="single"/>
          <w:lang w:val="en-GB"/>
        </w:rPr>
      </w:pPr>
      <w:r>
        <w:rPr>
          <w:b/>
          <w:sz w:val="28"/>
          <w:szCs w:val="28"/>
          <w:u w:val="single"/>
          <w:lang w:val="en-GB"/>
        </w:rPr>
        <w:br w:type="page"/>
      </w:r>
    </w:p>
    <w:p w14:paraId="04E41033" w14:textId="2857F878" w:rsidR="001337F5" w:rsidRPr="006C5B12" w:rsidRDefault="001337F5" w:rsidP="0072608A">
      <w:pPr>
        <w:rPr>
          <w:b/>
          <w:sz w:val="28"/>
          <w:szCs w:val="28"/>
          <w:u w:val="single"/>
          <w:lang w:val="en-GB"/>
        </w:rPr>
      </w:pPr>
      <w:r w:rsidRPr="006C5B12">
        <w:rPr>
          <w:b/>
          <w:sz w:val="28"/>
          <w:szCs w:val="28"/>
          <w:u w:val="single"/>
          <w:lang w:val="en-GB"/>
        </w:rPr>
        <w:lastRenderedPageBreak/>
        <w:t>An</w:t>
      </w:r>
      <w:r w:rsidR="00A859E9">
        <w:rPr>
          <w:b/>
          <w:sz w:val="28"/>
          <w:szCs w:val="28"/>
          <w:u w:val="single"/>
          <w:lang w:val="en-GB"/>
        </w:rPr>
        <w:t>nex</w:t>
      </w:r>
      <w:r w:rsidRPr="006C5B12">
        <w:rPr>
          <w:b/>
          <w:sz w:val="28"/>
          <w:szCs w:val="28"/>
          <w:u w:val="single"/>
          <w:lang w:val="en-GB"/>
        </w:rPr>
        <w:t xml:space="preserve"> 2</w:t>
      </w:r>
      <w:bookmarkStart w:id="12" w:name="_Ref71893386"/>
    </w:p>
    <w:p w14:paraId="74107F30" w14:textId="1D6C1026" w:rsidR="00E81CB3" w:rsidRPr="006C5B12" w:rsidRDefault="00E81CB3" w:rsidP="0072608A">
      <w:pPr>
        <w:pStyle w:val="berschrift1"/>
        <w:numPr>
          <w:ilvl w:val="0"/>
          <w:numId w:val="0"/>
        </w:numPr>
        <w:ind w:left="432" w:hanging="432"/>
        <w:rPr>
          <w:lang w:val="en-GB"/>
        </w:rPr>
      </w:pPr>
      <w:r w:rsidRPr="006C5B12">
        <w:rPr>
          <w:lang w:val="en-GB"/>
        </w:rPr>
        <w:t>Do</w:t>
      </w:r>
      <w:r w:rsidR="00A859E9">
        <w:rPr>
          <w:lang w:val="en-GB"/>
        </w:rPr>
        <w:t xml:space="preserve">cumentation, integration in an existing risk management system </w:t>
      </w:r>
      <w:bookmarkEnd w:id="12"/>
    </w:p>
    <w:p w14:paraId="2988F418" w14:textId="1AF06A58" w:rsidR="00642BB9" w:rsidRPr="006C5B12" w:rsidRDefault="00EE6ACD" w:rsidP="0041718F">
      <w:pPr>
        <w:jc w:val="both"/>
        <w:rPr>
          <w:lang w:val="en-GB"/>
        </w:rPr>
      </w:pPr>
      <w:r w:rsidRPr="00EE6ACD">
        <w:rPr>
          <w:lang w:val="en-GB"/>
        </w:rPr>
        <w:t xml:space="preserve">The IVDR does not specify the </w:t>
      </w:r>
      <w:r>
        <w:rPr>
          <w:lang w:val="en-GB"/>
        </w:rPr>
        <w:t>type</w:t>
      </w:r>
      <w:r w:rsidRPr="00EE6ACD">
        <w:rPr>
          <w:lang w:val="en-GB"/>
        </w:rPr>
        <w:t xml:space="preserve"> of documentation </w:t>
      </w:r>
      <w:r>
        <w:rPr>
          <w:lang w:val="en-GB"/>
        </w:rPr>
        <w:t xml:space="preserve">required for </w:t>
      </w:r>
      <w:r w:rsidRPr="00EE6ACD">
        <w:rPr>
          <w:lang w:val="en-GB"/>
        </w:rPr>
        <w:t xml:space="preserve">the risk management process. EN ISO 22367:2020 </w:t>
      </w:r>
      <w:r w:rsidR="004278C6">
        <w:rPr>
          <w:lang w:val="en-GB"/>
        </w:rPr>
        <w:t>indicates</w:t>
      </w:r>
      <w:r w:rsidRPr="00EE6ACD">
        <w:rPr>
          <w:lang w:val="en-GB"/>
        </w:rPr>
        <w:t xml:space="preserve"> that </w:t>
      </w:r>
      <w:r w:rsidR="00DF0FE5">
        <w:rPr>
          <w:lang w:val="en-GB"/>
        </w:rPr>
        <w:t xml:space="preserve">there is a large </w:t>
      </w:r>
      <w:r w:rsidRPr="00EE6ACD">
        <w:rPr>
          <w:lang w:val="en-GB"/>
        </w:rPr>
        <w:t xml:space="preserve">degree of </w:t>
      </w:r>
      <w:r w:rsidR="001E4925">
        <w:rPr>
          <w:lang w:val="en-GB"/>
        </w:rPr>
        <w:t>leeway</w:t>
      </w:r>
      <w:r w:rsidRPr="00EE6ACD">
        <w:rPr>
          <w:lang w:val="en-GB"/>
        </w:rPr>
        <w:t xml:space="preserve"> here, as described in </w:t>
      </w:r>
      <w:r>
        <w:rPr>
          <w:lang w:val="en-GB"/>
        </w:rPr>
        <w:t>C</w:t>
      </w:r>
      <w:r w:rsidRPr="00EE6ACD">
        <w:rPr>
          <w:lang w:val="en-GB"/>
        </w:rPr>
        <w:t xml:space="preserve">hapter 4.2 (Management </w:t>
      </w:r>
      <w:r w:rsidR="001E4925">
        <w:rPr>
          <w:lang w:val="en-GB"/>
        </w:rPr>
        <w:t>R</w:t>
      </w:r>
      <w:r w:rsidRPr="00EE6ACD">
        <w:rPr>
          <w:lang w:val="en-GB"/>
        </w:rPr>
        <w:t xml:space="preserve">esponsibilities). </w:t>
      </w:r>
      <w:r w:rsidR="00DF0FE5">
        <w:rPr>
          <w:lang w:val="en-GB"/>
        </w:rPr>
        <w:t>G</w:t>
      </w:r>
      <w:r w:rsidRPr="00EE6ACD">
        <w:rPr>
          <w:lang w:val="en-GB"/>
        </w:rPr>
        <w:t>uideline</w:t>
      </w:r>
      <w:r w:rsidR="00DF0FE5">
        <w:rPr>
          <w:lang w:val="en-GB"/>
        </w:rPr>
        <w:t>s</w:t>
      </w:r>
      <w:r w:rsidRPr="00EE6ACD">
        <w:rPr>
          <w:lang w:val="en-GB"/>
        </w:rPr>
        <w:t xml:space="preserve"> </w:t>
      </w:r>
      <w:r w:rsidR="00DF0FE5">
        <w:rPr>
          <w:lang w:val="en-GB"/>
        </w:rPr>
        <w:t>on integrating</w:t>
      </w:r>
      <w:r w:rsidRPr="00EE6ACD">
        <w:rPr>
          <w:lang w:val="en-GB"/>
        </w:rPr>
        <w:t xml:space="preserve"> risk management into an existing quality management system (for example </w:t>
      </w:r>
      <w:r>
        <w:rPr>
          <w:lang w:val="en-GB"/>
        </w:rPr>
        <w:t>in accordance with</w:t>
      </w:r>
      <w:r w:rsidRPr="00EE6ACD">
        <w:rPr>
          <w:lang w:val="en-GB"/>
        </w:rPr>
        <w:t xml:space="preserve"> ISO 15189) can be found in Annex A of EN ISO 22367:2020. </w:t>
      </w:r>
    </w:p>
    <w:p w14:paraId="51C06A4E" w14:textId="2D171C0F" w:rsidR="0041718F" w:rsidRPr="006C5B12" w:rsidRDefault="00EE6ACD" w:rsidP="0041718F">
      <w:pPr>
        <w:jc w:val="both"/>
        <w:rPr>
          <w:lang w:val="en-GB"/>
        </w:rPr>
      </w:pPr>
      <w:r w:rsidRPr="00EE6ACD">
        <w:rPr>
          <w:lang w:val="en-GB"/>
        </w:rPr>
        <w:t xml:space="preserve">Chapter 4.4.5 of EN ISO 22367:2020 </w:t>
      </w:r>
      <w:r>
        <w:rPr>
          <w:lang w:val="en-GB"/>
        </w:rPr>
        <w:t>covers</w:t>
      </w:r>
      <w:r w:rsidRPr="00EE6ACD">
        <w:rPr>
          <w:lang w:val="en-GB"/>
        </w:rPr>
        <w:t xml:space="preserve"> the</w:t>
      </w:r>
      <w:r>
        <w:rPr>
          <w:lang w:val="en-GB"/>
        </w:rPr>
        <w:t xml:space="preserve"> risk management</w:t>
      </w:r>
      <w:r w:rsidRPr="00EE6ACD">
        <w:rPr>
          <w:lang w:val="en-GB"/>
        </w:rPr>
        <w:t xml:space="preserve"> documentation. According</w:t>
      </w:r>
      <w:r w:rsidR="00E91F8B">
        <w:rPr>
          <w:lang w:val="en-GB"/>
        </w:rPr>
        <w:t xml:space="preserve"> to this</w:t>
      </w:r>
      <w:r w:rsidRPr="00EE6ACD">
        <w:rPr>
          <w:lang w:val="en-GB"/>
        </w:rPr>
        <w:t>, the risk management documentation must, among other things, enable all identified hazards to</w:t>
      </w:r>
      <w:r w:rsidR="00E91F8B">
        <w:rPr>
          <w:lang w:val="en-GB"/>
        </w:rPr>
        <w:t xml:space="preserve"> be traced to</w:t>
      </w:r>
      <w:r w:rsidRPr="00EE6ACD">
        <w:rPr>
          <w:lang w:val="en-GB"/>
        </w:rPr>
        <w:t xml:space="preserve"> the process steps listed </w:t>
      </w:r>
      <w:r>
        <w:rPr>
          <w:lang w:val="en-GB"/>
        </w:rPr>
        <w:t>in the</w:t>
      </w:r>
      <w:r w:rsidRPr="00EE6ACD">
        <w:rPr>
          <w:lang w:val="en-GB"/>
        </w:rPr>
        <w:t xml:space="preserve"> table</w:t>
      </w:r>
      <w:r>
        <w:rPr>
          <w:lang w:val="en-GB"/>
        </w:rPr>
        <w:t xml:space="preserve"> below</w:t>
      </w:r>
      <w:r w:rsidRPr="00EE6ACD">
        <w:rPr>
          <w:lang w:val="en-GB"/>
        </w:rPr>
        <w:t xml:space="preserve">. </w:t>
      </w:r>
    </w:p>
    <w:p w14:paraId="6D2D08B7" w14:textId="19F6842B" w:rsidR="0041718F" w:rsidRPr="006C5B12" w:rsidRDefault="00EE6ACD" w:rsidP="00F4147C">
      <w:pPr>
        <w:jc w:val="both"/>
        <w:rPr>
          <w:lang w:val="en-GB"/>
        </w:rPr>
      </w:pPr>
      <w:r w:rsidRPr="00EE6ACD">
        <w:rPr>
          <w:lang w:val="en-GB"/>
        </w:rPr>
        <w:t xml:space="preserve">It also states that </w:t>
      </w:r>
      <w:r>
        <w:rPr>
          <w:lang w:val="en-GB"/>
        </w:rPr>
        <w:t xml:space="preserve">“the </w:t>
      </w:r>
      <w:r w:rsidRPr="00EE6ACD">
        <w:rPr>
          <w:lang w:val="en-GB"/>
        </w:rPr>
        <w:t xml:space="preserve">risk management documentation </w:t>
      </w:r>
      <w:r>
        <w:rPr>
          <w:lang w:val="en-GB"/>
        </w:rPr>
        <w:t>[</w:t>
      </w:r>
      <w:r w:rsidRPr="00EE6ACD">
        <w:rPr>
          <w:lang w:val="en-GB"/>
        </w:rPr>
        <w:t>may</w:t>
      </w:r>
      <w:r>
        <w:rPr>
          <w:lang w:val="en-GB"/>
        </w:rPr>
        <w:t>]</w:t>
      </w:r>
      <w:r w:rsidRPr="00EE6ACD">
        <w:rPr>
          <w:lang w:val="en-GB"/>
        </w:rPr>
        <w:t xml:space="preserve"> </w:t>
      </w:r>
      <w:r>
        <w:rPr>
          <w:lang w:val="en-GB"/>
        </w:rPr>
        <w:t>take on</w:t>
      </w:r>
      <w:r w:rsidRPr="00EE6ACD">
        <w:rPr>
          <w:lang w:val="en-GB"/>
        </w:rPr>
        <w:t xml:space="preserve"> any form and </w:t>
      </w:r>
      <w:r w:rsidR="004435AC">
        <w:rPr>
          <w:lang w:val="en-GB"/>
        </w:rPr>
        <w:t xml:space="preserve">be </w:t>
      </w:r>
      <w:r w:rsidR="00E91F8B">
        <w:rPr>
          <w:lang w:val="en-GB"/>
        </w:rPr>
        <w:t xml:space="preserve">stored </w:t>
      </w:r>
      <w:r w:rsidRPr="00EE6ACD">
        <w:rPr>
          <w:lang w:val="en-GB"/>
        </w:rPr>
        <w:t>on any type of medi</w:t>
      </w:r>
      <w:r w:rsidR="004435AC">
        <w:rPr>
          <w:lang w:val="en-GB"/>
        </w:rPr>
        <w:t>um”</w:t>
      </w:r>
      <w:r w:rsidRPr="00EE6ACD">
        <w:rPr>
          <w:lang w:val="en-GB"/>
        </w:rPr>
        <w:t xml:space="preserve">. </w:t>
      </w:r>
      <w:r w:rsidR="00E91F8B">
        <w:rPr>
          <w:lang w:val="en-GB"/>
        </w:rPr>
        <w:t>This</w:t>
      </w:r>
      <w:r w:rsidRPr="00EE6ACD">
        <w:rPr>
          <w:lang w:val="en-GB"/>
        </w:rPr>
        <w:t xml:space="preserve"> chapter </w:t>
      </w:r>
      <w:r w:rsidR="00E91F8B">
        <w:rPr>
          <w:lang w:val="en-GB"/>
        </w:rPr>
        <w:t>also goes into detail about</w:t>
      </w:r>
      <w:r w:rsidRPr="00EE6ACD">
        <w:rPr>
          <w:lang w:val="en-GB"/>
        </w:rPr>
        <w:t xml:space="preserve"> the possibility of a superordinate structure for risk management documentation. </w:t>
      </w:r>
    </w:p>
    <w:p w14:paraId="70D055E8" w14:textId="6C8C2B0A" w:rsidR="00087CA3" w:rsidRDefault="004435AC" w:rsidP="0041718F">
      <w:pPr>
        <w:jc w:val="both"/>
        <w:rPr>
          <w:lang w:val="en-GB"/>
        </w:rPr>
      </w:pPr>
      <w:r w:rsidRPr="004435AC">
        <w:rPr>
          <w:lang w:val="en-GB"/>
        </w:rPr>
        <w:t xml:space="preserve">Thus, all documents </w:t>
      </w:r>
      <w:r w:rsidR="00E91F8B">
        <w:rPr>
          <w:lang w:val="en-GB"/>
        </w:rPr>
        <w:t>relating to</w:t>
      </w:r>
      <w:r w:rsidRPr="004435AC">
        <w:rPr>
          <w:lang w:val="en-GB"/>
        </w:rPr>
        <w:t xml:space="preserve"> the risk management process </w:t>
      </w:r>
      <w:r>
        <w:rPr>
          <w:lang w:val="en-GB"/>
        </w:rPr>
        <w:t xml:space="preserve">- </w:t>
      </w:r>
      <w:r w:rsidRPr="004435AC">
        <w:rPr>
          <w:lang w:val="en-GB"/>
        </w:rPr>
        <w:t xml:space="preserve">from planning to the final report </w:t>
      </w:r>
      <w:r>
        <w:rPr>
          <w:lang w:val="en-GB"/>
        </w:rPr>
        <w:t xml:space="preserve">- </w:t>
      </w:r>
      <w:r w:rsidRPr="004435AC">
        <w:rPr>
          <w:lang w:val="en-GB"/>
        </w:rPr>
        <w:t>would be brought together in one risk management file. If</w:t>
      </w:r>
      <w:r w:rsidR="00E91F8B">
        <w:rPr>
          <w:lang w:val="en-GB"/>
        </w:rPr>
        <w:t xml:space="preserve"> </w:t>
      </w:r>
      <w:r w:rsidRPr="004435AC">
        <w:rPr>
          <w:lang w:val="en-GB"/>
        </w:rPr>
        <w:t xml:space="preserve">the </w:t>
      </w:r>
      <w:r w:rsidR="00E91F8B">
        <w:rPr>
          <w:lang w:val="en-GB"/>
        </w:rPr>
        <w:t>subject matter</w:t>
      </w:r>
      <w:r w:rsidRPr="004435AC">
        <w:rPr>
          <w:lang w:val="en-GB"/>
        </w:rPr>
        <w:t xml:space="preserve"> listed in </w:t>
      </w:r>
      <w:r>
        <w:rPr>
          <w:lang w:val="en-GB"/>
        </w:rPr>
        <w:t>C</w:t>
      </w:r>
      <w:r w:rsidRPr="004435AC">
        <w:rPr>
          <w:lang w:val="en-GB"/>
        </w:rPr>
        <w:t>hapter 4.4.5 of EN ISO 22367:2020</w:t>
      </w:r>
      <w:r w:rsidR="00E91F8B">
        <w:rPr>
          <w:lang w:val="en-GB"/>
        </w:rPr>
        <w:t xml:space="preserve"> is</w:t>
      </w:r>
      <w:r w:rsidRPr="004435AC">
        <w:rPr>
          <w:lang w:val="en-GB"/>
        </w:rPr>
        <w:t xml:space="preserve"> </w:t>
      </w:r>
      <w:proofErr w:type="gramStart"/>
      <w:r w:rsidR="00E91F8B" w:rsidRPr="004435AC">
        <w:rPr>
          <w:lang w:val="en-GB"/>
        </w:rPr>
        <w:t>taken into account</w:t>
      </w:r>
      <w:proofErr w:type="gramEnd"/>
      <w:r w:rsidR="00E91F8B" w:rsidRPr="004435AC">
        <w:rPr>
          <w:lang w:val="en-GB"/>
        </w:rPr>
        <w:t xml:space="preserve"> </w:t>
      </w:r>
      <w:r w:rsidR="00E91F8B">
        <w:rPr>
          <w:lang w:val="en-GB"/>
        </w:rPr>
        <w:t>alongside the subject matter</w:t>
      </w:r>
      <w:r w:rsidRPr="004435AC">
        <w:rPr>
          <w:lang w:val="en-GB"/>
        </w:rPr>
        <w:t xml:space="preserve"> of the risk management plan and the risk management report described in </w:t>
      </w:r>
      <w:r>
        <w:rPr>
          <w:lang w:val="en-GB"/>
        </w:rPr>
        <w:t>C</w:t>
      </w:r>
      <w:r w:rsidRPr="004435AC">
        <w:rPr>
          <w:lang w:val="en-GB"/>
        </w:rPr>
        <w:t xml:space="preserve">hapter 9.3 of EN ISO 22367:2020, </w:t>
      </w:r>
      <w:r>
        <w:rPr>
          <w:lang w:val="en-GB"/>
        </w:rPr>
        <w:t>this would result in a</w:t>
      </w:r>
      <w:r w:rsidRPr="004435AC">
        <w:rPr>
          <w:lang w:val="en-GB"/>
        </w:rPr>
        <w:t xml:space="preserve"> documentation structure </w:t>
      </w:r>
      <w:r w:rsidR="00AC21CB">
        <w:rPr>
          <w:lang w:val="en-GB"/>
        </w:rPr>
        <w:t>for</w:t>
      </w:r>
      <w:r w:rsidRPr="004435AC">
        <w:rPr>
          <w:lang w:val="en-GB"/>
        </w:rPr>
        <w:t xml:space="preserve"> the </w:t>
      </w:r>
      <w:r w:rsidR="00EA25CB">
        <w:rPr>
          <w:lang w:val="en-GB"/>
        </w:rPr>
        <w:t>main</w:t>
      </w:r>
      <w:r w:rsidRPr="004435AC">
        <w:rPr>
          <w:lang w:val="en-GB"/>
        </w:rPr>
        <w:t xml:space="preserve"> activities of the risk management process </w:t>
      </w:r>
      <w:r>
        <w:rPr>
          <w:lang w:val="en-GB"/>
        </w:rPr>
        <w:t xml:space="preserve">as </w:t>
      </w:r>
      <w:r w:rsidRPr="004435AC">
        <w:rPr>
          <w:lang w:val="en-GB"/>
        </w:rPr>
        <w:t xml:space="preserve">shown in the </w:t>
      </w:r>
      <w:r w:rsidRPr="006C5B12">
        <w:rPr>
          <w:lang w:val="en-GB"/>
        </w:rPr>
        <w:fldChar w:fldCharType="begin"/>
      </w:r>
      <w:r w:rsidRPr="006C5B12">
        <w:rPr>
          <w:lang w:val="en-GB"/>
        </w:rPr>
        <w:instrText xml:space="preserve"> REF _Ref71895631 \h </w:instrText>
      </w:r>
      <w:r w:rsidRPr="006C5B12">
        <w:rPr>
          <w:lang w:val="en-GB"/>
        </w:rPr>
      </w:r>
      <w:r w:rsidRPr="006C5B12">
        <w:rPr>
          <w:lang w:val="en-GB"/>
        </w:rPr>
        <w:fldChar w:fldCharType="separate"/>
      </w:r>
      <w:r>
        <w:rPr>
          <w:lang w:val="en-GB"/>
        </w:rPr>
        <w:t>Figure</w:t>
      </w:r>
      <w:r w:rsidRPr="006C5B12">
        <w:rPr>
          <w:lang w:val="en-GB"/>
        </w:rPr>
        <w:t xml:space="preserve"> </w:t>
      </w:r>
      <w:r w:rsidRPr="006C5B12">
        <w:rPr>
          <w:noProof/>
          <w:lang w:val="en-GB"/>
        </w:rPr>
        <w:t>2</w:t>
      </w:r>
      <w:r w:rsidRPr="006C5B12">
        <w:rPr>
          <w:lang w:val="en-GB"/>
        </w:rPr>
        <w:fldChar w:fldCharType="end"/>
      </w:r>
      <w:r w:rsidRPr="004435AC">
        <w:rPr>
          <w:lang w:val="en-GB"/>
        </w:rPr>
        <w:t xml:space="preserve"> </w:t>
      </w:r>
      <w:r>
        <w:rPr>
          <w:lang w:val="en-GB"/>
        </w:rPr>
        <w:t>below</w:t>
      </w:r>
      <w:r w:rsidRPr="004435AC">
        <w:rPr>
          <w:lang w:val="en-GB"/>
        </w:rPr>
        <w:t>.</w:t>
      </w:r>
      <w:r>
        <w:rPr>
          <w:lang w:val="en-GB"/>
        </w:rPr>
        <w:t xml:space="preserve"> </w:t>
      </w:r>
    </w:p>
    <w:tbl>
      <w:tblPr>
        <w:tblStyle w:val="Tabellenraster"/>
        <w:tblW w:w="0" w:type="auto"/>
        <w:tblLook w:val="04A0" w:firstRow="1" w:lastRow="0" w:firstColumn="1" w:lastColumn="0" w:noHBand="0" w:noVBand="1"/>
      </w:tblPr>
      <w:tblGrid>
        <w:gridCol w:w="2830"/>
        <w:gridCol w:w="2694"/>
        <w:gridCol w:w="3538"/>
      </w:tblGrid>
      <w:tr w:rsidR="00AC21CB" w:rsidRPr="00D02B35" w14:paraId="02A4E834" w14:textId="77777777" w:rsidTr="00AC21CB">
        <w:tc>
          <w:tcPr>
            <w:tcW w:w="9062" w:type="dxa"/>
            <w:gridSpan w:val="3"/>
          </w:tcPr>
          <w:p w14:paraId="25F0F9B2" w14:textId="1D416953" w:rsidR="00AC21CB" w:rsidRPr="00EA25CB" w:rsidRDefault="00AC21CB" w:rsidP="0041718F">
            <w:pPr>
              <w:jc w:val="both"/>
              <w:rPr>
                <w:b/>
                <w:bCs/>
                <w:lang w:val="en-GB"/>
              </w:rPr>
            </w:pPr>
            <w:r w:rsidRPr="00EA25CB">
              <w:rPr>
                <w:b/>
                <w:bCs/>
                <w:lang w:val="en-GB"/>
              </w:rPr>
              <w:t>Risk management file</w:t>
            </w:r>
          </w:p>
          <w:p w14:paraId="072A73B0" w14:textId="142C79AE" w:rsidR="00AC21CB" w:rsidRPr="00EA25CB" w:rsidRDefault="00AC21CB" w:rsidP="0041718F">
            <w:pPr>
              <w:jc w:val="both"/>
              <w:rPr>
                <w:sz w:val="20"/>
                <w:szCs w:val="20"/>
                <w:lang w:val="en-GB"/>
              </w:rPr>
            </w:pPr>
            <w:r w:rsidRPr="00EA25CB">
              <w:rPr>
                <w:sz w:val="20"/>
                <w:szCs w:val="20"/>
                <w:lang w:val="en-GB"/>
              </w:rPr>
              <w:t>Documentation of the main activities of the risk management process along with the results</w:t>
            </w:r>
          </w:p>
        </w:tc>
      </w:tr>
      <w:tr w:rsidR="00AC21CB" w:rsidRPr="00D02B35" w14:paraId="099CA3EE" w14:textId="77777777" w:rsidTr="00EA25CB">
        <w:tc>
          <w:tcPr>
            <w:tcW w:w="2830" w:type="dxa"/>
            <w:tcBorders>
              <w:top w:val="double" w:sz="4" w:space="0" w:color="auto"/>
              <w:right w:val="double" w:sz="4" w:space="0" w:color="auto"/>
            </w:tcBorders>
          </w:tcPr>
          <w:p w14:paraId="525D6180" w14:textId="77777777" w:rsidR="00AC21CB" w:rsidRPr="00EA25CB" w:rsidRDefault="00AC21CB" w:rsidP="006E009A">
            <w:pPr>
              <w:pStyle w:val="Listenabsatz"/>
              <w:numPr>
                <w:ilvl w:val="0"/>
                <w:numId w:val="24"/>
              </w:numPr>
              <w:spacing w:before="240" w:after="120"/>
              <w:ind w:left="312" w:hanging="284"/>
              <w:contextualSpacing w:val="0"/>
              <w:rPr>
                <w:sz w:val="24"/>
                <w:szCs w:val="24"/>
                <w:lang w:val="en-GB"/>
              </w:rPr>
            </w:pPr>
            <w:r w:rsidRPr="00EA25CB">
              <w:rPr>
                <w:sz w:val="24"/>
                <w:szCs w:val="24"/>
                <w:lang w:val="en-GB"/>
              </w:rPr>
              <w:t>Risk management plan</w:t>
            </w:r>
          </w:p>
          <w:p w14:paraId="013A4620" w14:textId="77777777" w:rsidR="00AC21CB" w:rsidRDefault="00AC21CB" w:rsidP="00CD25C1">
            <w:pPr>
              <w:pStyle w:val="Listenabsatz"/>
              <w:numPr>
                <w:ilvl w:val="0"/>
                <w:numId w:val="25"/>
              </w:numPr>
              <w:spacing w:after="120"/>
              <w:ind w:left="312" w:hanging="221"/>
              <w:contextualSpacing w:val="0"/>
              <w:rPr>
                <w:sz w:val="14"/>
                <w:szCs w:val="14"/>
                <w:lang w:val="en-GB"/>
              </w:rPr>
            </w:pPr>
            <w:r w:rsidRPr="00AC21CB">
              <w:rPr>
                <w:sz w:val="14"/>
                <w:szCs w:val="14"/>
                <w:lang w:val="en-GB"/>
              </w:rPr>
              <w:t>Scope and the individual phases</w:t>
            </w:r>
          </w:p>
          <w:p w14:paraId="61763394" w14:textId="77777777" w:rsidR="00AC21CB" w:rsidRDefault="00AC21CB" w:rsidP="00CD25C1">
            <w:pPr>
              <w:pStyle w:val="Listenabsatz"/>
              <w:numPr>
                <w:ilvl w:val="0"/>
                <w:numId w:val="25"/>
              </w:numPr>
              <w:spacing w:after="120"/>
              <w:ind w:left="312" w:hanging="221"/>
              <w:contextualSpacing w:val="0"/>
              <w:rPr>
                <w:sz w:val="14"/>
                <w:szCs w:val="14"/>
                <w:lang w:val="en-GB"/>
              </w:rPr>
            </w:pPr>
            <w:r>
              <w:rPr>
                <w:sz w:val="14"/>
                <w:szCs w:val="14"/>
                <w:lang w:val="en-GB"/>
              </w:rPr>
              <w:t>Responsibilities and authorisations</w:t>
            </w:r>
          </w:p>
          <w:p w14:paraId="0ADBC5D6" w14:textId="71477EAF" w:rsidR="00AC21CB" w:rsidRDefault="00AC21CB" w:rsidP="00CD25C1">
            <w:pPr>
              <w:pStyle w:val="Listenabsatz"/>
              <w:numPr>
                <w:ilvl w:val="0"/>
                <w:numId w:val="25"/>
              </w:numPr>
              <w:spacing w:after="120"/>
              <w:ind w:left="312" w:hanging="221"/>
              <w:contextualSpacing w:val="0"/>
              <w:rPr>
                <w:sz w:val="14"/>
                <w:szCs w:val="14"/>
                <w:lang w:val="en-GB"/>
              </w:rPr>
            </w:pPr>
            <w:r>
              <w:rPr>
                <w:sz w:val="14"/>
                <w:szCs w:val="14"/>
                <w:lang w:val="en-GB"/>
              </w:rPr>
              <w:t xml:space="preserve">Requirements </w:t>
            </w:r>
            <w:r w:rsidR="00EA25CB">
              <w:rPr>
                <w:sz w:val="14"/>
                <w:szCs w:val="14"/>
                <w:lang w:val="en-GB"/>
              </w:rPr>
              <w:t>for</w:t>
            </w:r>
            <w:r>
              <w:rPr>
                <w:sz w:val="14"/>
                <w:szCs w:val="14"/>
                <w:lang w:val="en-GB"/>
              </w:rPr>
              <w:t xml:space="preserve"> </w:t>
            </w:r>
            <w:r w:rsidR="004278C6">
              <w:rPr>
                <w:sz w:val="14"/>
                <w:szCs w:val="14"/>
                <w:lang w:val="en-GB"/>
              </w:rPr>
              <w:t>reviewing</w:t>
            </w:r>
            <w:r>
              <w:rPr>
                <w:sz w:val="14"/>
                <w:szCs w:val="14"/>
                <w:lang w:val="en-GB"/>
              </w:rPr>
              <w:t xml:space="preserve"> the activities</w:t>
            </w:r>
          </w:p>
          <w:p w14:paraId="35E29078" w14:textId="77777777" w:rsidR="00AC21CB" w:rsidRDefault="00AC21CB" w:rsidP="00CD25C1">
            <w:pPr>
              <w:pStyle w:val="Listenabsatz"/>
              <w:numPr>
                <w:ilvl w:val="0"/>
                <w:numId w:val="25"/>
              </w:numPr>
              <w:spacing w:after="120"/>
              <w:ind w:left="312" w:hanging="221"/>
              <w:contextualSpacing w:val="0"/>
              <w:rPr>
                <w:sz w:val="14"/>
                <w:szCs w:val="14"/>
                <w:lang w:val="en-GB"/>
              </w:rPr>
            </w:pPr>
            <w:r>
              <w:rPr>
                <w:sz w:val="14"/>
                <w:szCs w:val="14"/>
                <w:lang w:val="en-GB"/>
              </w:rPr>
              <w:t>Criteria for the acceptance of risks</w:t>
            </w:r>
          </w:p>
          <w:p w14:paraId="692EC31A" w14:textId="77777777" w:rsidR="00AC21CB" w:rsidRDefault="00AC21CB" w:rsidP="00CD25C1">
            <w:pPr>
              <w:pStyle w:val="Listenabsatz"/>
              <w:numPr>
                <w:ilvl w:val="0"/>
                <w:numId w:val="25"/>
              </w:numPr>
              <w:spacing w:after="120"/>
              <w:ind w:left="312" w:hanging="221"/>
              <w:contextualSpacing w:val="0"/>
              <w:rPr>
                <w:sz w:val="14"/>
                <w:szCs w:val="14"/>
                <w:lang w:val="en-GB"/>
              </w:rPr>
            </w:pPr>
            <w:r>
              <w:rPr>
                <w:sz w:val="14"/>
                <w:szCs w:val="14"/>
                <w:lang w:val="en-GB"/>
              </w:rPr>
              <w:t>Process for assessing the overall residual risk</w:t>
            </w:r>
          </w:p>
          <w:p w14:paraId="61F4A3CF" w14:textId="77777777" w:rsidR="00AC21CB" w:rsidRDefault="00AC21CB" w:rsidP="00CD25C1">
            <w:pPr>
              <w:pStyle w:val="Listenabsatz"/>
              <w:numPr>
                <w:ilvl w:val="0"/>
                <w:numId w:val="25"/>
              </w:numPr>
              <w:spacing w:after="120"/>
              <w:ind w:left="312" w:hanging="221"/>
              <w:contextualSpacing w:val="0"/>
              <w:rPr>
                <w:sz w:val="14"/>
                <w:szCs w:val="14"/>
                <w:lang w:val="en-GB"/>
              </w:rPr>
            </w:pPr>
            <w:r>
              <w:rPr>
                <w:sz w:val="14"/>
                <w:szCs w:val="14"/>
                <w:lang w:val="en-GB"/>
              </w:rPr>
              <w:t>Verification activities</w:t>
            </w:r>
          </w:p>
          <w:p w14:paraId="376B0EA6" w14:textId="47972724" w:rsidR="00AC21CB" w:rsidRPr="00AC21CB" w:rsidRDefault="00AC21CB" w:rsidP="00CD25C1">
            <w:pPr>
              <w:pStyle w:val="Listenabsatz"/>
              <w:numPr>
                <w:ilvl w:val="0"/>
                <w:numId w:val="25"/>
              </w:numPr>
              <w:spacing w:after="120"/>
              <w:ind w:left="312" w:hanging="221"/>
              <w:contextualSpacing w:val="0"/>
              <w:rPr>
                <w:sz w:val="14"/>
                <w:szCs w:val="14"/>
                <w:lang w:val="en-GB"/>
              </w:rPr>
            </w:pPr>
            <w:r>
              <w:rPr>
                <w:sz w:val="14"/>
                <w:szCs w:val="14"/>
                <w:lang w:val="en-GB"/>
              </w:rPr>
              <w:t>Post-market surveillance activities</w:t>
            </w:r>
          </w:p>
        </w:tc>
        <w:tc>
          <w:tcPr>
            <w:tcW w:w="2694" w:type="dxa"/>
            <w:tcBorders>
              <w:top w:val="double" w:sz="4" w:space="0" w:color="auto"/>
              <w:left w:val="double" w:sz="4" w:space="0" w:color="auto"/>
              <w:right w:val="double" w:sz="4" w:space="0" w:color="auto"/>
            </w:tcBorders>
          </w:tcPr>
          <w:p w14:paraId="06B74AD3" w14:textId="77777777" w:rsidR="00AC21CB" w:rsidRPr="00EA25CB" w:rsidRDefault="00AC21CB" w:rsidP="00EA25CB">
            <w:pPr>
              <w:pStyle w:val="Listenabsatz"/>
              <w:numPr>
                <w:ilvl w:val="0"/>
                <w:numId w:val="24"/>
              </w:numPr>
              <w:spacing w:before="240" w:after="120"/>
              <w:ind w:left="315" w:hanging="258"/>
              <w:contextualSpacing w:val="0"/>
              <w:rPr>
                <w:sz w:val="24"/>
                <w:szCs w:val="24"/>
                <w:lang w:val="en-GB"/>
              </w:rPr>
            </w:pPr>
            <w:r w:rsidRPr="00EA25CB">
              <w:rPr>
                <w:sz w:val="24"/>
                <w:szCs w:val="24"/>
                <w:lang w:val="en-GB"/>
              </w:rPr>
              <w:t>Risk analysis</w:t>
            </w:r>
          </w:p>
          <w:p w14:paraId="441B07F8" w14:textId="77777777" w:rsidR="00AC21CB" w:rsidRPr="00EA25CB" w:rsidRDefault="00AC21CB" w:rsidP="00EA25CB">
            <w:pPr>
              <w:pStyle w:val="Listenabsatz"/>
              <w:numPr>
                <w:ilvl w:val="0"/>
                <w:numId w:val="24"/>
              </w:numPr>
              <w:spacing w:after="120"/>
              <w:ind w:left="315" w:hanging="258"/>
              <w:contextualSpacing w:val="0"/>
              <w:rPr>
                <w:sz w:val="24"/>
                <w:szCs w:val="24"/>
                <w:lang w:val="en-GB"/>
              </w:rPr>
            </w:pPr>
            <w:r w:rsidRPr="00EA25CB">
              <w:rPr>
                <w:sz w:val="24"/>
                <w:szCs w:val="24"/>
                <w:lang w:val="en-GB"/>
              </w:rPr>
              <w:t>Risk assessment</w:t>
            </w:r>
          </w:p>
          <w:p w14:paraId="3A1CF70C" w14:textId="77777777" w:rsidR="00AC21CB" w:rsidRPr="00EA25CB" w:rsidRDefault="00AC21CB" w:rsidP="00EA25CB">
            <w:pPr>
              <w:pStyle w:val="Listenabsatz"/>
              <w:numPr>
                <w:ilvl w:val="0"/>
                <w:numId w:val="24"/>
              </w:numPr>
              <w:spacing w:after="120"/>
              <w:ind w:left="315" w:hanging="258"/>
              <w:contextualSpacing w:val="0"/>
              <w:rPr>
                <w:sz w:val="24"/>
                <w:szCs w:val="24"/>
                <w:lang w:val="en-GB"/>
              </w:rPr>
            </w:pPr>
            <w:r w:rsidRPr="00EA25CB">
              <w:rPr>
                <w:sz w:val="24"/>
                <w:szCs w:val="24"/>
                <w:lang w:val="en-GB"/>
              </w:rPr>
              <w:t>Implementation and verification of the measures</w:t>
            </w:r>
          </w:p>
          <w:p w14:paraId="211DC91A" w14:textId="24BAA6A2" w:rsidR="00AC21CB" w:rsidRPr="00AC21CB" w:rsidRDefault="00AC21CB" w:rsidP="00EA25CB">
            <w:pPr>
              <w:pStyle w:val="Listenabsatz"/>
              <w:numPr>
                <w:ilvl w:val="0"/>
                <w:numId w:val="24"/>
              </w:numPr>
              <w:spacing w:after="120"/>
              <w:ind w:left="315" w:hanging="258"/>
              <w:contextualSpacing w:val="0"/>
              <w:rPr>
                <w:lang w:val="en-GB"/>
              </w:rPr>
            </w:pPr>
            <w:r w:rsidRPr="00EA25CB">
              <w:rPr>
                <w:sz w:val="24"/>
                <w:szCs w:val="24"/>
                <w:lang w:val="en-GB"/>
              </w:rPr>
              <w:t>Risk-benefit analysis</w:t>
            </w:r>
          </w:p>
        </w:tc>
        <w:tc>
          <w:tcPr>
            <w:tcW w:w="3538" w:type="dxa"/>
            <w:tcBorders>
              <w:top w:val="double" w:sz="4" w:space="0" w:color="auto"/>
              <w:left w:val="double" w:sz="4" w:space="0" w:color="auto"/>
            </w:tcBorders>
          </w:tcPr>
          <w:p w14:paraId="2DC7DBE3" w14:textId="1A63C45A" w:rsidR="00CD25C1" w:rsidRPr="00EA25CB" w:rsidRDefault="00CD25C1" w:rsidP="006E009A">
            <w:pPr>
              <w:pStyle w:val="Listenabsatz"/>
              <w:numPr>
                <w:ilvl w:val="0"/>
                <w:numId w:val="24"/>
              </w:numPr>
              <w:spacing w:before="240" w:after="120"/>
              <w:ind w:left="312" w:hanging="284"/>
              <w:contextualSpacing w:val="0"/>
              <w:rPr>
                <w:sz w:val="24"/>
                <w:szCs w:val="24"/>
                <w:lang w:val="en-GB"/>
              </w:rPr>
            </w:pPr>
            <w:r w:rsidRPr="00EA25CB">
              <w:rPr>
                <w:sz w:val="24"/>
                <w:szCs w:val="24"/>
                <w:lang w:val="en-GB"/>
              </w:rPr>
              <w:t>Risk management report</w:t>
            </w:r>
          </w:p>
          <w:p w14:paraId="674B5088" w14:textId="4F6236D7" w:rsidR="00CD25C1" w:rsidRDefault="004278C6" w:rsidP="00CD25C1">
            <w:pPr>
              <w:pStyle w:val="Listenabsatz"/>
              <w:numPr>
                <w:ilvl w:val="0"/>
                <w:numId w:val="25"/>
              </w:numPr>
              <w:spacing w:after="120"/>
              <w:ind w:left="312" w:hanging="221"/>
              <w:contextualSpacing w:val="0"/>
              <w:rPr>
                <w:sz w:val="14"/>
                <w:szCs w:val="14"/>
                <w:lang w:val="en-GB"/>
              </w:rPr>
            </w:pPr>
            <w:r>
              <w:rPr>
                <w:sz w:val="14"/>
                <w:szCs w:val="14"/>
                <w:lang w:val="en-GB"/>
              </w:rPr>
              <w:t xml:space="preserve">Documentation </w:t>
            </w:r>
            <w:r w:rsidR="00CD25C1">
              <w:rPr>
                <w:sz w:val="14"/>
                <w:szCs w:val="14"/>
                <w:lang w:val="en-GB"/>
              </w:rPr>
              <w:t>of the results of the risk management process</w:t>
            </w:r>
          </w:p>
          <w:p w14:paraId="4F5D4CAB" w14:textId="1B50526A" w:rsidR="00CD25C1" w:rsidRDefault="00CD25C1" w:rsidP="00CD25C1">
            <w:pPr>
              <w:pStyle w:val="Listenabsatz"/>
              <w:numPr>
                <w:ilvl w:val="0"/>
                <w:numId w:val="25"/>
              </w:numPr>
              <w:spacing w:after="120"/>
              <w:ind w:left="312" w:hanging="221"/>
              <w:contextualSpacing w:val="0"/>
              <w:rPr>
                <w:sz w:val="14"/>
                <w:szCs w:val="14"/>
                <w:lang w:val="en-GB"/>
              </w:rPr>
            </w:pPr>
            <w:r>
              <w:rPr>
                <w:sz w:val="14"/>
                <w:szCs w:val="14"/>
                <w:lang w:val="en-GB"/>
              </w:rPr>
              <w:t xml:space="preserve">Must enable every hazard to </w:t>
            </w:r>
            <w:r w:rsidR="006E009A">
              <w:rPr>
                <w:sz w:val="14"/>
                <w:szCs w:val="14"/>
                <w:lang w:val="en-GB"/>
              </w:rPr>
              <w:t>be trace</w:t>
            </w:r>
            <w:r w:rsidR="004278C6">
              <w:rPr>
                <w:sz w:val="14"/>
                <w:szCs w:val="14"/>
                <w:lang w:val="en-GB"/>
              </w:rPr>
              <w:t xml:space="preserve">d back </w:t>
            </w:r>
            <w:r w:rsidR="006E009A">
              <w:rPr>
                <w:sz w:val="14"/>
                <w:szCs w:val="14"/>
                <w:lang w:val="en-GB"/>
              </w:rPr>
              <w:t xml:space="preserve">to </w:t>
            </w:r>
            <w:r>
              <w:rPr>
                <w:sz w:val="14"/>
                <w:szCs w:val="14"/>
                <w:lang w:val="en-GB"/>
              </w:rPr>
              <w:t xml:space="preserve">the analysis and assessment of the risk </w:t>
            </w:r>
          </w:p>
          <w:p w14:paraId="49531F1A" w14:textId="41682151" w:rsidR="00CD25C1" w:rsidRDefault="006E009A" w:rsidP="00CD25C1">
            <w:pPr>
              <w:pStyle w:val="Listenabsatz"/>
              <w:numPr>
                <w:ilvl w:val="0"/>
                <w:numId w:val="25"/>
              </w:numPr>
              <w:spacing w:after="120"/>
              <w:ind w:left="312" w:hanging="221"/>
              <w:contextualSpacing w:val="0"/>
              <w:rPr>
                <w:sz w:val="14"/>
                <w:szCs w:val="14"/>
                <w:lang w:val="en-GB"/>
              </w:rPr>
            </w:pPr>
            <w:r>
              <w:rPr>
                <w:sz w:val="14"/>
                <w:szCs w:val="14"/>
                <w:lang w:val="en-GB"/>
              </w:rPr>
              <w:t>Must contain an explanation that the residual</w:t>
            </w:r>
            <w:r w:rsidR="004278C6">
              <w:rPr>
                <w:sz w:val="14"/>
                <w:szCs w:val="14"/>
                <w:lang w:val="en-GB"/>
              </w:rPr>
              <w:t xml:space="preserve"> risk</w:t>
            </w:r>
            <w:r>
              <w:rPr>
                <w:sz w:val="14"/>
                <w:szCs w:val="14"/>
                <w:lang w:val="en-GB"/>
              </w:rPr>
              <w:t xml:space="preserve"> (the sum of the individual residual risks</w:t>
            </w:r>
            <w:r w:rsidR="00EA25CB">
              <w:rPr>
                <w:sz w:val="14"/>
                <w:szCs w:val="14"/>
                <w:lang w:val="en-GB"/>
              </w:rPr>
              <w:t>)</w:t>
            </w:r>
            <w:r>
              <w:rPr>
                <w:sz w:val="14"/>
                <w:szCs w:val="14"/>
                <w:lang w:val="en-GB"/>
              </w:rPr>
              <w:t xml:space="preserve"> is </w:t>
            </w:r>
            <w:r w:rsidR="00EA25CB">
              <w:rPr>
                <w:sz w:val="14"/>
                <w:szCs w:val="14"/>
                <w:lang w:val="en-GB"/>
              </w:rPr>
              <w:t>acceptable</w:t>
            </w:r>
          </w:p>
          <w:p w14:paraId="2EF50A65" w14:textId="3019A2E2" w:rsidR="00AC21CB" w:rsidRPr="00EA25CB" w:rsidRDefault="00EA25CB" w:rsidP="00EA25CB">
            <w:pPr>
              <w:pStyle w:val="Listenabsatz"/>
              <w:numPr>
                <w:ilvl w:val="0"/>
                <w:numId w:val="25"/>
              </w:numPr>
              <w:spacing w:after="120"/>
              <w:ind w:left="312" w:hanging="221"/>
              <w:contextualSpacing w:val="0"/>
              <w:rPr>
                <w:sz w:val="14"/>
                <w:szCs w:val="14"/>
                <w:lang w:val="en-GB"/>
              </w:rPr>
            </w:pPr>
            <w:r>
              <w:rPr>
                <w:sz w:val="14"/>
                <w:szCs w:val="14"/>
                <w:lang w:val="en-GB"/>
              </w:rPr>
              <w:t>The risk management report is part of the risk management file</w:t>
            </w:r>
          </w:p>
        </w:tc>
      </w:tr>
    </w:tbl>
    <w:p w14:paraId="399D7DF0" w14:textId="54CE0FEC" w:rsidR="0041718F" w:rsidRPr="006C5B12" w:rsidRDefault="0041718F" w:rsidP="0041718F">
      <w:pPr>
        <w:jc w:val="both"/>
        <w:rPr>
          <w:lang w:val="en-GB"/>
        </w:rPr>
      </w:pPr>
      <w:r w:rsidRPr="006C5B12">
        <w:rPr>
          <w:lang w:val="en-GB"/>
        </w:rPr>
        <w:t xml:space="preserve"> </w:t>
      </w:r>
    </w:p>
    <w:p w14:paraId="402CCEFD" w14:textId="7F334A36" w:rsidR="00E14A51" w:rsidRPr="006C5B12" w:rsidRDefault="009A736C" w:rsidP="00F4147C">
      <w:pPr>
        <w:pStyle w:val="Beschriftung"/>
        <w:jc w:val="both"/>
        <w:rPr>
          <w:lang w:val="en-GB"/>
        </w:rPr>
      </w:pPr>
      <w:bookmarkStart w:id="13" w:name="_Ref71895631"/>
      <w:r>
        <w:rPr>
          <w:lang w:val="en-GB"/>
        </w:rPr>
        <w:t>Figure</w:t>
      </w:r>
      <w:r w:rsidR="001B1CEA" w:rsidRPr="006C5B12">
        <w:rPr>
          <w:lang w:val="en-GB"/>
        </w:rPr>
        <w:t xml:space="preserve"> </w:t>
      </w:r>
      <w:r w:rsidR="00F80F8D" w:rsidRPr="006C5B12">
        <w:rPr>
          <w:noProof/>
          <w:lang w:val="en-GB"/>
        </w:rPr>
        <w:fldChar w:fldCharType="begin"/>
      </w:r>
      <w:r w:rsidR="00F80F8D" w:rsidRPr="006C5B12">
        <w:rPr>
          <w:noProof/>
          <w:lang w:val="en-GB"/>
        </w:rPr>
        <w:instrText xml:space="preserve"> SEQ Abbildung \* ARABIC </w:instrText>
      </w:r>
      <w:r w:rsidR="00F80F8D" w:rsidRPr="006C5B12">
        <w:rPr>
          <w:noProof/>
          <w:lang w:val="en-GB"/>
        </w:rPr>
        <w:fldChar w:fldCharType="separate"/>
      </w:r>
      <w:r w:rsidR="00087CA3" w:rsidRPr="006C5B12">
        <w:rPr>
          <w:noProof/>
          <w:lang w:val="en-GB"/>
        </w:rPr>
        <w:t>2</w:t>
      </w:r>
      <w:r w:rsidR="00F80F8D" w:rsidRPr="006C5B12">
        <w:rPr>
          <w:noProof/>
          <w:lang w:val="en-GB"/>
        </w:rPr>
        <w:fldChar w:fldCharType="end"/>
      </w:r>
      <w:bookmarkEnd w:id="13"/>
      <w:r w:rsidR="0041718F" w:rsidRPr="006C5B12">
        <w:rPr>
          <w:lang w:val="en-GB"/>
        </w:rPr>
        <w:t xml:space="preserve"> Do</w:t>
      </w:r>
      <w:r>
        <w:rPr>
          <w:lang w:val="en-GB"/>
        </w:rPr>
        <w:t>c</w:t>
      </w:r>
      <w:r w:rsidR="0041718F" w:rsidRPr="006C5B12">
        <w:rPr>
          <w:lang w:val="en-GB"/>
        </w:rPr>
        <w:t xml:space="preserve">umentation </w:t>
      </w:r>
      <w:r>
        <w:rPr>
          <w:lang w:val="en-GB"/>
        </w:rPr>
        <w:t>of the RM process</w:t>
      </w:r>
      <w:r w:rsidR="0041718F" w:rsidRPr="006C5B12">
        <w:rPr>
          <w:lang w:val="en-GB"/>
        </w:rPr>
        <w:t xml:space="preserve">. </w:t>
      </w:r>
      <w:r>
        <w:rPr>
          <w:lang w:val="en-GB"/>
        </w:rPr>
        <w:t xml:space="preserve">The RM file </w:t>
      </w:r>
      <w:r w:rsidRPr="009A736C">
        <w:rPr>
          <w:lang w:val="en-GB"/>
        </w:rPr>
        <w:t xml:space="preserve">forms the framework for the documentation of </w:t>
      </w:r>
      <w:r w:rsidR="007C63ED">
        <w:rPr>
          <w:lang w:val="en-GB"/>
        </w:rPr>
        <w:t xml:space="preserve">the </w:t>
      </w:r>
      <w:r w:rsidRPr="009A736C">
        <w:rPr>
          <w:lang w:val="en-GB"/>
        </w:rPr>
        <w:t>planning, implementation</w:t>
      </w:r>
      <w:r w:rsidR="00A651E8">
        <w:rPr>
          <w:lang w:val="en-GB"/>
        </w:rPr>
        <w:t>,</w:t>
      </w:r>
      <w:r w:rsidRPr="009A736C">
        <w:rPr>
          <w:lang w:val="en-GB"/>
        </w:rPr>
        <w:t xml:space="preserve"> and the final risk management report (</w:t>
      </w:r>
      <w:r w:rsidR="00A651E8">
        <w:rPr>
          <w:lang w:val="en-GB"/>
        </w:rPr>
        <w:t>see</w:t>
      </w:r>
      <w:r w:rsidRPr="009A736C">
        <w:rPr>
          <w:lang w:val="en-GB"/>
        </w:rPr>
        <w:t xml:space="preserve"> </w:t>
      </w:r>
      <w:r w:rsidR="007E7673">
        <w:rPr>
          <w:lang w:val="en-GB"/>
        </w:rPr>
        <w:t>C</w:t>
      </w:r>
      <w:r w:rsidR="007E7673" w:rsidRPr="009A736C">
        <w:rPr>
          <w:lang w:val="en-GB"/>
        </w:rPr>
        <w:t>hapter 9.3</w:t>
      </w:r>
      <w:r w:rsidR="007E7673">
        <w:rPr>
          <w:lang w:val="en-GB"/>
        </w:rPr>
        <w:t xml:space="preserve"> of </w:t>
      </w:r>
      <w:r w:rsidRPr="009A736C">
        <w:rPr>
          <w:lang w:val="en-GB"/>
        </w:rPr>
        <w:t>EN ISO 22367:2020).</w:t>
      </w:r>
    </w:p>
    <w:p w14:paraId="2F6B6571" w14:textId="77777777" w:rsidR="00E14A51" w:rsidRPr="006C5B12" w:rsidRDefault="00E14A51" w:rsidP="00F4147C">
      <w:pPr>
        <w:pStyle w:val="Beschriftung"/>
        <w:jc w:val="both"/>
        <w:rPr>
          <w:lang w:val="en-GB"/>
        </w:rPr>
      </w:pPr>
    </w:p>
    <w:p w14:paraId="461F5AB8" w14:textId="77777777" w:rsidR="00E14A51" w:rsidRPr="006C5B12" w:rsidRDefault="00E14A51" w:rsidP="00F4147C">
      <w:pPr>
        <w:pStyle w:val="Beschriftung"/>
        <w:jc w:val="both"/>
        <w:rPr>
          <w:lang w:val="en-GB"/>
        </w:rPr>
      </w:pPr>
    </w:p>
    <w:p w14:paraId="3BE8274D" w14:textId="77777777" w:rsidR="00E14A51" w:rsidRPr="006C5B12" w:rsidRDefault="00E14A51" w:rsidP="00F4147C">
      <w:pPr>
        <w:pStyle w:val="Beschriftung"/>
        <w:jc w:val="both"/>
        <w:rPr>
          <w:lang w:val="en-GB"/>
        </w:rPr>
      </w:pPr>
    </w:p>
    <w:p w14:paraId="5438825F" w14:textId="77777777" w:rsidR="00E14A51" w:rsidRPr="006C5B12" w:rsidRDefault="00E14A51" w:rsidP="00F4147C">
      <w:pPr>
        <w:pStyle w:val="Beschriftung"/>
        <w:jc w:val="both"/>
        <w:rPr>
          <w:lang w:val="en-GB"/>
        </w:rPr>
      </w:pPr>
    </w:p>
    <w:p w14:paraId="16EE68B5" w14:textId="77777777" w:rsidR="00E14A51" w:rsidRPr="006C5B12" w:rsidRDefault="00E14A51" w:rsidP="00F4147C">
      <w:pPr>
        <w:pStyle w:val="Beschriftung"/>
        <w:jc w:val="both"/>
        <w:rPr>
          <w:lang w:val="en-GB"/>
        </w:rPr>
      </w:pPr>
    </w:p>
    <w:p w14:paraId="53339456" w14:textId="77777777" w:rsidR="00E14A51" w:rsidRPr="006C5B12" w:rsidRDefault="00E14A51" w:rsidP="00F4147C">
      <w:pPr>
        <w:pStyle w:val="Beschriftung"/>
        <w:jc w:val="both"/>
        <w:rPr>
          <w:lang w:val="en-GB"/>
        </w:rPr>
      </w:pPr>
    </w:p>
    <w:p w14:paraId="0FBE139F" w14:textId="77777777" w:rsidR="009A736C" w:rsidRDefault="009A736C">
      <w:pPr>
        <w:rPr>
          <w:b/>
          <w:iCs/>
          <w:color w:val="000000" w:themeColor="text1"/>
          <w:sz w:val="28"/>
          <w:szCs w:val="28"/>
          <w:u w:val="single"/>
          <w:lang w:val="en-GB"/>
        </w:rPr>
      </w:pPr>
      <w:r>
        <w:rPr>
          <w:b/>
          <w:i/>
          <w:color w:val="000000" w:themeColor="text1"/>
          <w:sz w:val="28"/>
          <w:szCs w:val="28"/>
          <w:u w:val="single"/>
          <w:lang w:val="en-GB"/>
        </w:rPr>
        <w:br w:type="page"/>
      </w:r>
    </w:p>
    <w:p w14:paraId="1C331EBF" w14:textId="4C74B93F" w:rsidR="00BA7E21" w:rsidRPr="006C5B12" w:rsidRDefault="00E14A51" w:rsidP="00F4147C">
      <w:pPr>
        <w:pStyle w:val="Beschriftung"/>
        <w:jc w:val="both"/>
        <w:rPr>
          <w:b/>
          <w:i w:val="0"/>
          <w:color w:val="000000" w:themeColor="text1"/>
          <w:sz w:val="28"/>
          <w:szCs w:val="28"/>
          <w:u w:val="single"/>
          <w:lang w:val="en-GB"/>
        </w:rPr>
      </w:pPr>
      <w:r w:rsidRPr="006C5B12">
        <w:rPr>
          <w:b/>
          <w:i w:val="0"/>
          <w:color w:val="000000" w:themeColor="text1"/>
          <w:sz w:val="28"/>
          <w:szCs w:val="28"/>
          <w:u w:val="single"/>
          <w:lang w:val="en-GB"/>
        </w:rPr>
        <w:lastRenderedPageBreak/>
        <w:t>An</w:t>
      </w:r>
      <w:r w:rsidR="009A736C">
        <w:rPr>
          <w:b/>
          <w:i w:val="0"/>
          <w:color w:val="000000" w:themeColor="text1"/>
          <w:sz w:val="28"/>
          <w:szCs w:val="28"/>
          <w:u w:val="single"/>
          <w:lang w:val="en-GB"/>
        </w:rPr>
        <w:t>nex</w:t>
      </w:r>
      <w:r w:rsidRPr="006C5B12">
        <w:rPr>
          <w:b/>
          <w:i w:val="0"/>
          <w:color w:val="000000" w:themeColor="text1"/>
          <w:sz w:val="28"/>
          <w:szCs w:val="28"/>
          <w:u w:val="single"/>
          <w:lang w:val="en-GB"/>
        </w:rPr>
        <w:t xml:space="preserve"> 3</w:t>
      </w:r>
    </w:p>
    <w:p w14:paraId="4A99CD8B" w14:textId="5C824A26" w:rsidR="00A103E5" w:rsidRPr="006C5B12" w:rsidRDefault="00C9539F" w:rsidP="0072608A">
      <w:pPr>
        <w:pStyle w:val="berschrift1"/>
        <w:numPr>
          <w:ilvl w:val="0"/>
          <w:numId w:val="0"/>
        </w:numPr>
        <w:rPr>
          <w:lang w:val="en-GB"/>
        </w:rPr>
      </w:pPr>
      <w:bookmarkStart w:id="14" w:name="_Ref71882549"/>
      <w:r w:rsidRPr="00C9539F">
        <w:rPr>
          <w:lang w:val="en-GB"/>
        </w:rPr>
        <w:t>Risks which</w:t>
      </w:r>
      <w:r w:rsidR="00A651E8">
        <w:rPr>
          <w:lang w:val="en-GB"/>
        </w:rPr>
        <w:t>, according to the IVDR,</w:t>
      </w:r>
      <w:r w:rsidRPr="00C9539F">
        <w:rPr>
          <w:lang w:val="en-GB"/>
        </w:rPr>
        <w:t xml:space="preserve"> must be considered </w:t>
      </w:r>
      <w:bookmarkEnd w:id="14"/>
    </w:p>
    <w:p w14:paraId="6F87E379" w14:textId="6E7E6A54" w:rsidR="00A02FC9" w:rsidRPr="006C5B12" w:rsidRDefault="00C9539F" w:rsidP="00F4147C">
      <w:pPr>
        <w:jc w:val="both"/>
        <w:rPr>
          <w:lang w:val="en-GB"/>
        </w:rPr>
      </w:pPr>
      <w:r w:rsidRPr="00C9539F">
        <w:rPr>
          <w:lang w:val="en-GB"/>
        </w:rPr>
        <w:t xml:space="preserve">The potential risks should be kept as low as possible or reduced as far as reasonably </w:t>
      </w:r>
      <w:r w:rsidR="00A975C9">
        <w:rPr>
          <w:lang w:val="en-GB"/>
        </w:rPr>
        <w:t>practicable</w:t>
      </w:r>
      <w:r w:rsidRPr="00C9539F">
        <w:rPr>
          <w:lang w:val="en-GB"/>
        </w:rPr>
        <w:t xml:space="preserve">. The following tables show all </w:t>
      </w:r>
      <w:r>
        <w:rPr>
          <w:lang w:val="en-GB"/>
        </w:rPr>
        <w:t xml:space="preserve">of the </w:t>
      </w:r>
      <w:r w:rsidRPr="00C9539F">
        <w:rPr>
          <w:lang w:val="en-GB"/>
        </w:rPr>
        <w:t xml:space="preserve">types of risks described in Annex I of the IVDR that must be </w:t>
      </w:r>
      <w:proofErr w:type="gramStart"/>
      <w:r w:rsidR="007C63ED">
        <w:rPr>
          <w:lang w:val="en-GB"/>
        </w:rPr>
        <w:t>taken into account</w:t>
      </w:r>
      <w:proofErr w:type="gramEnd"/>
      <w:r w:rsidR="007C63ED">
        <w:rPr>
          <w:lang w:val="en-GB"/>
        </w:rPr>
        <w:t xml:space="preserve"> </w:t>
      </w:r>
      <w:r w:rsidRPr="00C9539F">
        <w:rPr>
          <w:lang w:val="en-GB"/>
        </w:rPr>
        <w:t>in the risk analysis.</w:t>
      </w:r>
      <w:r>
        <w:rPr>
          <w:lang w:val="en-GB"/>
        </w:rPr>
        <w:t xml:space="preserve"> </w:t>
      </w:r>
    </w:p>
    <w:p w14:paraId="6EC320F9" w14:textId="0E724A54" w:rsidR="00100407" w:rsidRPr="006C5B12" w:rsidRDefault="00E57DEF" w:rsidP="00F4147C">
      <w:pPr>
        <w:pStyle w:val="berschrift2"/>
        <w:rPr>
          <w:lang w:val="en-GB"/>
        </w:rPr>
      </w:pPr>
      <w:r>
        <w:rPr>
          <w:lang w:val="en-GB"/>
        </w:rPr>
        <w:t>Risks due to use error</w:t>
      </w:r>
      <w:r w:rsidR="00100407" w:rsidRPr="006C5B12">
        <w:rPr>
          <w:lang w:val="en-GB"/>
        </w:rPr>
        <w:t>:</w:t>
      </w:r>
    </w:p>
    <w:p w14:paraId="4ED4E5F2" w14:textId="3CD24DF6" w:rsidR="00100407" w:rsidRPr="006C5B12" w:rsidRDefault="00E57DEF" w:rsidP="00100407">
      <w:pPr>
        <w:rPr>
          <w:lang w:val="en-GB"/>
        </w:rPr>
      </w:pPr>
      <w:r w:rsidRPr="00E57DEF">
        <w:rPr>
          <w:lang w:val="en-GB"/>
        </w:rPr>
        <w:t xml:space="preserve">Risks </w:t>
      </w:r>
      <w:r>
        <w:rPr>
          <w:lang w:val="en-GB"/>
        </w:rPr>
        <w:t>due to use error</w:t>
      </w:r>
      <w:r w:rsidRPr="00E57DEF">
        <w:rPr>
          <w:lang w:val="en-GB"/>
        </w:rPr>
        <w:t xml:space="preserve"> must be </w:t>
      </w:r>
      <w:r>
        <w:rPr>
          <w:lang w:val="en-GB"/>
        </w:rPr>
        <w:t>eliminated</w:t>
      </w:r>
      <w:r w:rsidRPr="00E57DEF">
        <w:rPr>
          <w:lang w:val="en-GB"/>
        </w:rPr>
        <w:t xml:space="preserve"> or reduced in accordance with Annex I, Section 5.</w:t>
      </w:r>
      <w:r>
        <w:rPr>
          <w:lang w:val="en-GB"/>
        </w:rPr>
        <w:t xml:space="preserve"> </w:t>
      </w:r>
    </w:p>
    <w:p w14:paraId="5886478F" w14:textId="09B18B1D" w:rsidR="00100407" w:rsidRPr="006C5B12" w:rsidRDefault="00100407" w:rsidP="00100407">
      <w:pPr>
        <w:pStyle w:val="Beschriftung"/>
        <w:rPr>
          <w:lang w:val="en-GB"/>
        </w:rPr>
      </w:pPr>
      <w:r w:rsidRPr="006C5B12">
        <w:rPr>
          <w:lang w:val="en-GB"/>
        </w:rPr>
        <w:t xml:space="preserve">Table </w:t>
      </w:r>
      <w:r w:rsidR="00F80F8D" w:rsidRPr="006C5B12">
        <w:rPr>
          <w:noProof/>
          <w:lang w:val="en-GB"/>
        </w:rPr>
        <w:fldChar w:fldCharType="begin"/>
      </w:r>
      <w:r w:rsidR="00F80F8D" w:rsidRPr="006C5B12">
        <w:rPr>
          <w:noProof/>
          <w:lang w:val="en-GB"/>
        </w:rPr>
        <w:instrText xml:space="preserve"> SEQ Tabelle \* ARABIC </w:instrText>
      </w:r>
      <w:r w:rsidR="00F80F8D" w:rsidRPr="006C5B12">
        <w:rPr>
          <w:noProof/>
          <w:lang w:val="en-GB"/>
        </w:rPr>
        <w:fldChar w:fldCharType="separate"/>
      </w:r>
      <w:r w:rsidR="00087CA3" w:rsidRPr="006C5B12">
        <w:rPr>
          <w:noProof/>
          <w:lang w:val="en-GB"/>
        </w:rPr>
        <w:t>6</w:t>
      </w:r>
      <w:r w:rsidR="00F80F8D" w:rsidRPr="006C5B12">
        <w:rPr>
          <w:noProof/>
          <w:lang w:val="en-GB"/>
        </w:rPr>
        <w:fldChar w:fldCharType="end"/>
      </w:r>
      <w:r w:rsidRPr="006C5B12">
        <w:rPr>
          <w:lang w:val="en-GB"/>
        </w:rPr>
        <w:t xml:space="preserve"> </w:t>
      </w:r>
      <w:r w:rsidR="001E03FF" w:rsidRPr="006C5B12">
        <w:rPr>
          <w:lang w:val="en-GB"/>
        </w:rPr>
        <w:t>IVDR</w:t>
      </w:r>
      <w:r w:rsidR="00E57DEF">
        <w:rPr>
          <w:lang w:val="en-GB"/>
        </w:rPr>
        <w:t>, Annex I, Chapter</w:t>
      </w:r>
      <w:r w:rsidRPr="006C5B12">
        <w:rPr>
          <w:lang w:val="en-GB"/>
        </w:rPr>
        <w:t xml:space="preserve"> </w:t>
      </w:r>
      <w:r w:rsidR="00E57DEF">
        <w:rPr>
          <w:lang w:val="en-GB"/>
        </w:rPr>
        <w:t>I</w:t>
      </w:r>
      <w:r w:rsidRPr="006C5B12">
        <w:rPr>
          <w:lang w:val="en-GB"/>
        </w:rPr>
        <w:t xml:space="preserve">, </w:t>
      </w:r>
      <w:r w:rsidR="00E57DEF">
        <w:rPr>
          <w:lang w:val="en-GB"/>
        </w:rPr>
        <w:t>Section</w:t>
      </w:r>
      <w:r w:rsidRPr="006C5B12">
        <w:rPr>
          <w:lang w:val="en-GB"/>
        </w:rPr>
        <w:t xml:space="preserve"> 5</w:t>
      </w:r>
    </w:p>
    <w:tbl>
      <w:tblPr>
        <w:tblW w:w="8784" w:type="dxa"/>
        <w:tblLook w:val="04A0" w:firstRow="1" w:lastRow="0" w:firstColumn="1" w:lastColumn="0" w:noHBand="0" w:noVBand="1"/>
      </w:tblPr>
      <w:tblGrid>
        <w:gridCol w:w="1271"/>
        <w:gridCol w:w="7513"/>
      </w:tblGrid>
      <w:tr w:rsidR="00100407" w:rsidRPr="006C5B12" w14:paraId="2C0429E8" w14:textId="77777777" w:rsidTr="00776F4D">
        <w:trPr>
          <w:trHeight w:val="318"/>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2742034" w14:textId="77777777" w:rsidR="00100407" w:rsidRPr="006C5B12" w:rsidRDefault="00100407" w:rsidP="00776F4D">
            <w:pPr>
              <w:pStyle w:val="Default"/>
              <w:spacing w:after="60"/>
              <w:rPr>
                <w:rFonts w:asciiTheme="minorHAnsi" w:hAnsiTheme="minorHAnsi" w:cstheme="minorBidi"/>
                <w:b/>
                <w:bCs/>
                <w:i/>
                <w:color w:val="auto"/>
                <w:sz w:val="20"/>
                <w:szCs w:val="20"/>
              </w:rPr>
            </w:pPr>
            <w:r w:rsidRPr="006C5B12">
              <w:rPr>
                <w:rFonts w:asciiTheme="minorHAnsi" w:hAnsiTheme="minorHAnsi" w:cstheme="minorBidi"/>
                <w:b/>
                <w:bCs/>
                <w:i/>
                <w:color w:val="auto"/>
                <w:sz w:val="20"/>
                <w:szCs w:val="20"/>
              </w:rPr>
              <w:t>IVDR</w:t>
            </w:r>
          </w:p>
        </w:tc>
      </w:tr>
      <w:tr w:rsidR="00100407" w:rsidRPr="006C5B12" w14:paraId="555D82A9" w14:textId="77777777" w:rsidTr="00776F4D">
        <w:trPr>
          <w:trHeight w:val="280"/>
        </w:trPr>
        <w:tc>
          <w:tcPr>
            <w:tcW w:w="1271" w:type="dxa"/>
            <w:tcBorders>
              <w:top w:val="single" w:sz="4" w:space="0" w:color="auto"/>
              <w:left w:val="single" w:sz="4" w:space="0" w:color="auto"/>
              <w:bottom w:val="single" w:sz="4" w:space="0" w:color="auto"/>
              <w:right w:val="single" w:sz="4" w:space="0" w:color="auto"/>
            </w:tcBorders>
            <w:shd w:val="clear" w:color="auto" w:fill="E7E6E6" w:themeFill="background2"/>
          </w:tcPr>
          <w:p w14:paraId="36C879E8" w14:textId="7950A731" w:rsidR="00100407" w:rsidRPr="006C5B12" w:rsidRDefault="00100407" w:rsidP="00776F4D">
            <w:pPr>
              <w:pStyle w:val="Default"/>
              <w:spacing w:after="60"/>
              <w:rPr>
                <w:rFonts w:asciiTheme="minorHAnsi" w:hAnsiTheme="minorHAnsi" w:cstheme="minorBidi"/>
                <w:i/>
                <w:color w:val="auto"/>
                <w:sz w:val="20"/>
                <w:szCs w:val="20"/>
              </w:rPr>
            </w:pPr>
            <w:r w:rsidRPr="006C5B12">
              <w:rPr>
                <w:rFonts w:asciiTheme="minorHAnsi" w:hAnsiTheme="minorHAnsi" w:cstheme="minorBidi"/>
                <w:i/>
                <w:color w:val="auto"/>
                <w:sz w:val="20"/>
                <w:szCs w:val="20"/>
              </w:rPr>
              <w:t>An</w:t>
            </w:r>
            <w:r w:rsidR="00E57DEF">
              <w:rPr>
                <w:rFonts w:asciiTheme="minorHAnsi" w:hAnsiTheme="minorHAnsi" w:cstheme="minorBidi"/>
                <w:i/>
                <w:color w:val="auto"/>
                <w:sz w:val="20"/>
                <w:szCs w:val="20"/>
              </w:rPr>
              <w:t>nex</w:t>
            </w:r>
            <w:r w:rsidRPr="006C5B12">
              <w:rPr>
                <w:rFonts w:asciiTheme="minorHAnsi" w:hAnsiTheme="minorHAnsi" w:cstheme="minorBidi"/>
                <w:i/>
                <w:color w:val="auto"/>
                <w:sz w:val="20"/>
                <w:szCs w:val="20"/>
              </w:rPr>
              <w:t xml:space="preserve"> </w:t>
            </w:r>
            <w:r w:rsidR="00E57DEF">
              <w:rPr>
                <w:rFonts w:asciiTheme="minorHAnsi" w:hAnsiTheme="minorHAnsi" w:cstheme="minorBidi"/>
                <w:i/>
                <w:color w:val="auto"/>
                <w:sz w:val="20"/>
                <w:szCs w:val="20"/>
              </w:rPr>
              <w:t>I</w:t>
            </w:r>
            <w:r w:rsidRPr="006C5B12">
              <w:rPr>
                <w:rFonts w:asciiTheme="minorHAnsi" w:hAnsiTheme="minorHAnsi" w:cstheme="minorBidi"/>
                <w:i/>
                <w:color w:val="auto"/>
                <w:sz w:val="20"/>
                <w:szCs w:val="20"/>
              </w:rPr>
              <w:t xml:space="preserve"> </w:t>
            </w:r>
            <w:r w:rsidR="00E57DEF">
              <w:rPr>
                <w:rFonts w:asciiTheme="minorHAnsi" w:hAnsiTheme="minorHAnsi" w:cstheme="minorBidi"/>
                <w:i/>
                <w:color w:val="auto"/>
                <w:sz w:val="20"/>
                <w:szCs w:val="20"/>
              </w:rPr>
              <w:t>Chapter</w:t>
            </w:r>
            <w:r w:rsidRPr="006C5B12">
              <w:rPr>
                <w:rFonts w:asciiTheme="minorHAnsi" w:hAnsiTheme="minorHAnsi" w:cstheme="minorBidi"/>
                <w:i/>
                <w:color w:val="auto"/>
                <w:sz w:val="20"/>
                <w:szCs w:val="20"/>
              </w:rPr>
              <w:t xml:space="preserve"> </w:t>
            </w:r>
            <w:r w:rsidR="00E57DEF">
              <w:rPr>
                <w:rFonts w:asciiTheme="minorHAnsi" w:hAnsiTheme="minorHAnsi" w:cstheme="minorBidi"/>
                <w:i/>
                <w:color w:val="auto"/>
                <w:sz w:val="20"/>
                <w:szCs w:val="20"/>
              </w:rPr>
              <w:t>I</w:t>
            </w:r>
          </w:p>
        </w:tc>
        <w:tc>
          <w:tcPr>
            <w:tcW w:w="7513" w:type="dxa"/>
            <w:tcBorders>
              <w:top w:val="single" w:sz="4" w:space="0" w:color="auto"/>
              <w:left w:val="single" w:sz="4" w:space="0" w:color="auto"/>
              <w:bottom w:val="single" w:sz="4" w:space="0" w:color="auto"/>
              <w:right w:val="single" w:sz="4" w:space="0" w:color="auto"/>
            </w:tcBorders>
            <w:shd w:val="clear" w:color="auto" w:fill="E7E6E6" w:themeFill="background2"/>
          </w:tcPr>
          <w:p w14:paraId="43F97DD7" w14:textId="77777777" w:rsidR="00100407" w:rsidRPr="006C5B12" w:rsidRDefault="00100407" w:rsidP="00776F4D">
            <w:pPr>
              <w:pStyle w:val="Default"/>
              <w:spacing w:after="60"/>
              <w:rPr>
                <w:rFonts w:asciiTheme="minorHAnsi" w:hAnsiTheme="minorHAnsi" w:cstheme="minorBidi"/>
                <w:i/>
                <w:color w:val="auto"/>
                <w:sz w:val="20"/>
                <w:szCs w:val="20"/>
              </w:rPr>
            </w:pPr>
          </w:p>
        </w:tc>
      </w:tr>
      <w:tr w:rsidR="00100407" w:rsidRPr="00D02B35" w14:paraId="0A37F737" w14:textId="77777777" w:rsidTr="00E57DEF">
        <w:trPr>
          <w:trHeight w:val="256"/>
        </w:trPr>
        <w:tc>
          <w:tcPr>
            <w:tcW w:w="1271" w:type="dxa"/>
            <w:tcBorders>
              <w:top w:val="single" w:sz="4" w:space="0" w:color="auto"/>
              <w:left w:val="single" w:sz="4" w:space="0" w:color="auto"/>
              <w:bottom w:val="single" w:sz="4" w:space="0" w:color="auto"/>
              <w:right w:val="single" w:sz="4" w:space="0" w:color="auto"/>
            </w:tcBorders>
          </w:tcPr>
          <w:p w14:paraId="7F6A7A43" w14:textId="4CD937A5" w:rsidR="00100407" w:rsidRPr="006C5B12" w:rsidRDefault="00E57DEF" w:rsidP="004A6052">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100407" w:rsidRPr="006C5B12">
              <w:rPr>
                <w:rFonts w:asciiTheme="minorHAnsi" w:hAnsiTheme="minorHAnsi" w:cstheme="minorBidi"/>
                <w:i/>
                <w:color w:val="auto"/>
                <w:sz w:val="20"/>
                <w:szCs w:val="20"/>
              </w:rPr>
              <w:t xml:space="preserve"> 5</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32E1599F" w14:textId="461AA7F5" w:rsidR="00100407" w:rsidRPr="006C5B12" w:rsidRDefault="00E57DEF" w:rsidP="00776F4D">
            <w:pPr>
              <w:pStyle w:val="Default"/>
              <w:spacing w:after="60"/>
              <w:rPr>
                <w:rFonts w:asciiTheme="minorHAnsi" w:hAnsiTheme="minorHAnsi" w:cstheme="minorBidi"/>
                <w:i/>
                <w:color w:val="auto"/>
                <w:sz w:val="20"/>
                <w:szCs w:val="20"/>
              </w:rPr>
            </w:pPr>
            <w:r w:rsidRPr="00E57DEF">
              <w:rPr>
                <w:rFonts w:asciiTheme="minorHAnsi" w:hAnsiTheme="minorHAnsi" w:cstheme="minorBidi"/>
                <w:i/>
                <w:color w:val="auto"/>
                <w:sz w:val="20"/>
                <w:szCs w:val="20"/>
              </w:rPr>
              <w:t xml:space="preserve">In eliminating or reducing risks related to </w:t>
            </w:r>
            <w:r>
              <w:rPr>
                <w:rFonts w:asciiTheme="minorHAnsi" w:hAnsiTheme="minorHAnsi" w:cstheme="minorBidi"/>
                <w:i/>
                <w:color w:val="auto"/>
                <w:sz w:val="20"/>
                <w:szCs w:val="20"/>
              </w:rPr>
              <w:t>use error</w:t>
            </w:r>
            <w:r w:rsidRPr="00E57DEF">
              <w:rPr>
                <w:rFonts w:asciiTheme="minorHAnsi" w:hAnsiTheme="minorHAnsi" w:cstheme="minorBidi"/>
                <w:i/>
                <w:color w:val="auto"/>
                <w:sz w:val="20"/>
                <w:szCs w:val="20"/>
              </w:rPr>
              <w:t>, the manufacturer shall:</w:t>
            </w:r>
            <w:r>
              <w:rPr>
                <w:rFonts w:asciiTheme="minorHAnsi" w:hAnsiTheme="minorHAnsi" w:cstheme="minorBidi"/>
                <w:i/>
                <w:color w:val="auto"/>
                <w:sz w:val="20"/>
                <w:szCs w:val="20"/>
              </w:rPr>
              <w:t xml:space="preserve"> </w:t>
            </w:r>
          </w:p>
        </w:tc>
      </w:tr>
      <w:tr w:rsidR="00100407" w:rsidRPr="00D02B35" w14:paraId="32EBF9CA" w14:textId="77777777" w:rsidTr="00776F4D">
        <w:trPr>
          <w:trHeight w:val="58"/>
        </w:trPr>
        <w:tc>
          <w:tcPr>
            <w:tcW w:w="1271" w:type="dxa"/>
            <w:tcBorders>
              <w:top w:val="nil"/>
              <w:left w:val="single" w:sz="4" w:space="0" w:color="auto"/>
              <w:bottom w:val="single" w:sz="4" w:space="0" w:color="auto"/>
              <w:right w:val="single" w:sz="4" w:space="0" w:color="auto"/>
            </w:tcBorders>
          </w:tcPr>
          <w:p w14:paraId="2013B347" w14:textId="77777777" w:rsidR="00100407" w:rsidRPr="006C5B12" w:rsidRDefault="00100407" w:rsidP="00776F4D">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a)</w:t>
            </w:r>
          </w:p>
        </w:tc>
        <w:tc>
          <w:tcPr>
            <w:tcW w:w="7513" w:type="dxa"/>
            <w:tcBorders>
              <w:top w:val="nil"/>
              <w:left w:val="single" w:sz="4" w:space="0" w:color="auto"/>
              <w:bottom w:val="single" w:sz="4" w:space="0" w:color="auto"/>
              <w:right w:val="single" w:sz="4" w:space="0" w:color="auto"/>
            </w:tcBorders>
            <w:shd w:val="clear" w:color="auto" w:fill="auto"/>
          </w:tcPr>
          <w:p w14:paraId="2ED16A69" w14:textId="1C833F3A" w:rsidR="00100407" w:rsidRPr="006C5B12" w:rsidRDefault="00184D8B" w:rsidP="00776F4D">
            <w:pPr>
              <w:pStyle w:val="Default"/>
              <w:spacing w:after="60"/>
              <w:rPr>
                <w:rFonts w:asciiTheme="minorHAnsi" w:hAnsiTheme="minorHAnsi" w:cstheme="minorBidi"/>
                <w:i/>
                <w:color w:val="auto"/>
                <w:sz w:val="20"/>
                <w:szCs w:val="20"/>
              </w:rPr>
            </w:pPr>
            <w:r w:rsidRPr="00184D8B">
              <w:rPr>
                <w:rFonts w:asciiTheme="minorHAnsi" w:hAnsiTheme="minorHAnsi" w:cstheme="minorBidi"/>
                <w:i/>
                <w:color w:val="auto"/>
                <w:sz w:val="20"/>
                <w:szCs w:val="20"/>
              </w:rPr>
              <w:t>reduce as far as possible the risks related to the ergonomic features of the device and the environment in which the device is intended to be used (design for patient safety), and</w:t>
            </w:r>
          </w:p>
        </w:tc>
      </w:tr>
      <w:tr w:rsidR="00100407" w:rsidRPr="00D02B35" w14:paraId="2B1851CF" w14:textId="77777777" w:rsidTr="00776F4D">
        <w:trPr>
          <w:trHeight w:val="282"/>
        </w:trPr>
        <w:tc>
          <w:tcPr>
            <w:tcW w:w="1271" w:type="dxa"/>
            <w:tcBorders>
              <w:top w:val="nil"/>
              <w:left w:val="single" w:sz="4" w:space="0" w:color="auto"/>
              <w:bottom w:val="single" w:sz="4" w:space="0" w:color="auto"/>
              <w:right w:val="single" w:sz="4" w:space="0" w:color="auto"/>
            </w:tcBorders>
          </w:tcPr>
          <w:p w14:paraId="21DA8457" w14:textId="77777777" w:rsidR="00100407" w:rsidRPr="006C5B12" w:rsidRDefault="00100407" w:rsidP="00776F4D">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b)</w:t>
            </w:r>
          </w:p>
        </w:tc>
        <w:tc>
          <w:tcPr>
            <w:tcW w:w="7513" w:type="dxa"/>
            <w:tcBorders>
              <w:top w:val="nil"/>
              <w:left w:val="single" w:sz="4" w:space="0" w:color="auto"/>
              <w:bottom w:val="single" w:sz="4" w:space="0" w:color="auto"/>
              <w:right w:val="single" w:sz="4" w:space="0" w:color="auto"/>
            </w:tcBorders>
            <w:shd w:val="clear" w:color="auto" w:fill="auto"/>
          </w:tcPr>
          <w:p w14:paraId="5713BBCB" w14:textId="34625255" w:rsidR="00100407" w:rsidRPr="006C5B12" w:rsidRDefault="00184D8B" w:rsidP="00776F4D">
            <w:pPr>
              <w:pStyle w:val="Default"/>
              <w:spacing w:after="60"/>
              <w:rPr>
                <w:rFonts w:asciiTheme="minorHAnsi" w:hAnsiTheme="minorHAnsi" w:cstheme="minorBidi"/>
                <w:i/>
                <w:color w:val="auto"/>
                <w:sz w:val="20"/>
                <w:szCs w:val="20"/>
              </w:rPr>
            </w:pPr>
            <w:proofErr w:type="gramStart"/>
            <w:r w:rsidRPr="00184D8B">
              <w:rPr>
                <w:rFonts w:asciiTheme="minorHAnsi" w:hAnsiTheme="minorHAnsi" w:cstheme="minorBidi"/>
                <w:i/>
                <w:color w:val="auto"/>
                <w:sz w:val="20"/>
                <w:szCs w:val="20"/>
              </w:rPr>
              <w:t>give consideration to</w:t>
            </w:r>
            <w:proofErr w:type="gramEnd"/>
            <w:r w:rsidRPr="00184D8B">
              <w:rPr>
                <w:rFonts w:asciiTheme="minorHAnsi" w:hAnsiTheme="minorHAnsi" w:cstheme="minorBidi"/>
                <w:i/>
                <w:color w:val="auto"/>
                <w:sz w:val="20"/>
                <w:szCs w:val="20"/>
              </w:rPr>
              <w:t xml:space="preserve"> the technical knowledge, experience, education, training and use environment, where applicable, and the medical and physical conditions of intended users (design for lay, professional, disabled or other users). </w:t>
            </w:r>
          </w:p>
        </w:tc>
      </w:tr>
    </w:tbl>
    <w:p w14:paraId="3622528A" w14:textId="464FC69B" w:rsidR="00D35F3A" w:rsidRPr="006C5B12" w:rsidRDefault="00D35F3A" w:rsidP="00A02FC9">
      <w:pPr>
        <w:rPr>
          <w:lang w:val="en-GB"/>
        </w:rPr>
      </w:pPr>
    </w:p>
    <w:p w14:paraId="78550BEA" w14:textId="4E50DD28" w:rsidR="00F23340" w:rsidRPr="006C5B12" w:rsidRDefault="00F23340" w:rsidP="00F4147C">
      <w:pPr>
        <w:pStyle w:val="berschrift2"/>
        <w:rPr>
          <w:lang w:val="en-GB"/>
        </w:rPr>
      </w:pPr>
      <w:r w:rsidRPr="006C5B12">
        <w:rPr>
          <w:lang w:val="en-GB"/>
        </w:rPr>
        <w:t>Risk</w:t>
      </w:r>
      <w:r w:rsidR="00184D8B">
        <w:rPr>
          <w:lang w:val="en-GB"/>
        </w:rPr>
        <w:t xml:space="preserve">s when designing and manufacturing devices </w:t>
      </w:r>
    </w:p>
    <w:p w14:paraId="18AF3966" w14:textId="26D11197" w:rsidR="00A01091" w:rsidRPr="006C5B12" w:rsidRDefault="00184D8B" w:rsidP="00F4147C">
      <w:pPr>
        <w:jc w:val="both"/>
        <w:rPr>
          <w:lang w:val="en-GB"/>
        </w:rPr>
      </w:pPr>
      <w:r w:rsidRPr="00184D8B">
        <w:rPr>
          <w:lang w:val="en-GB"/>
        </w:rPr>
        <w:t xml:space="preserve">Risks from contaminants and residues </w:t>
      </w:r>
      <w:r w:rsidR="00A651E8">
        <w:rPr>
          <w:lang w:val="en-GB"/>
        </w:rPr>
        <w:t>are to</w:t>
      </w:r>
      <w:r w:rsidRPr="00184D8B">
        <w:rPr>
          <w:lang w:val="en-GB"/>
        </w:rPr>
        <w:t xml:space="preserve"> be minimised</w:t>
      </w:r>
      <w:r w:rsidR="00A651E8">
        <w:rPr>
          <w:lang w:val="en-GB"/>
        </w:rPr>
        <w:t xml:space="preserve"> </w:t>
      </w:r>
      <w:r w:rsidR="004A6052">
        <w:rPr>
          <w:lang w:val="en-GB"/>
        </w:rPr>
        <w:t>as far as</w:t>
      </w:r>
      <w:r w:rsidR="00A651E8">
        <w:rPr>
          <w:lang w:val="en-GB"/>
        </w:rPr>
        <w:t xml:space="preserve"> possible</w:t>
      </w:r>
      <w:r w:rsidRPr="00184D8B">
        <w:rPr>
          <w:lang w:val="en-GB"/>
        </w:rPr>
        <w:t xml:space="preserve"> in accordance with Annex I, </w:t>
      </w:r>
      <w:r>
        <w:rPr>
          <w:lang w:val="en-GB"/>
        </w:rPr>
        <w:t>S</w:t>
      </w:r>
      <w:r w:rsidRPr="00184D8B">
        <w:rPr>
          <w:lang w:val="en-GB"/>
        </w:rPr>
        <w:t xml:space="preserve">ections 10.2, 10.3 and 10.4, </w:t>
      </w:r>
      <w:proofErr w:type="gramStart"/>
      <w:r w:rsidRPr="00184D8B">
        <w:rPr>
          <w:lang w:val="en-GB"/>
        </w:rPr>
        <w:t>taking into account</w:t>
      </w:r>
      <w:proofErr w:type="gramEnd"/>
      <w:r w:rsidRPr="00184D8B">
        <w:rPr>
          <w:lang w:val="en-GB"/>
        </w:rPr>
        <w:t xml:space="preserve"> the intended purpose of the product. </w:t>
      </w:r>
    </w:p>
    <w:p w14:paraId="36AF976B" w14:textId="02C21BB8" w:rsidR="00D35F3A" w:rsidRPr="006C5B12" w:rsidRDefault="00A01091">
      <w:pPr>
        <w:rPr>
          <w:lang w:val="en-GB"/>
        </w:rPr>
      </w:pPr>
      <w:r w:rsidRPr="006C5B12">
        <w:rPr>
          <w:i/>
          <w:iCs/>
          <w:color w:val="44546A" w:themeColor="text2"/>
          <w:sz w:val="18"/>
          <w:szCs w:val="18"/>
          <w:lang w:val="en-GB"/>
        </w:rPr>
        <w:t xml:space="preserve">Table </w:t>
      </w:r>
      <w:r w:rsidRPr="006C5B12">
        <w:rPr>
          <w:color w:val="44546A" w:themeColor="text2"/>
          <w:sz w:val="18"/>
          <w:szCs w:val="18"/>
          <w:lang w:val="en-GB"/>
        </w:rPr>
        <w:fldChar w:fldCharType="begin"/>
      </w:r>
      <w:r w:rsidRPr="006C5B12">
        <w:rPr>
          <w:i/>
          <w:iCs/>
          <w:color w:val="44546A" w:themeColor="text2"/>
          <w:sz w:val="18"/>
          <w:szCs w:val="18"/>
          <w:lang w:val="en-GB"/>
        </w:rPr>
        <w:instrText xml:space="preserve"> SEQ Tabelle \* ARABIC </w:instrText>
      </w:r>
      <w:r w:rsidRPr="006C5B12">
        <w:rPr>
          <w:i/>
          <w:iCs/>
          <w:color w:val="44546A" w:themeColor="text2"/>
          <w:sz w:val="18"/>
          <w:szCs w:val="18"/>
          <w:lang w:val="en-GB"/>
        </w:rPr>
        <w:fldChar w:fldCharType="separate"/>
      </w:r>
      <w:r w:rsidR="00087CA3" w:rsidRPr="006C5B12">
        <w:rPr>
          <w:i/>
          <w:iCs/>
          <w:noProof/>
          <w:color w:val="44546A" w:themeColor="text2"/>
          <w:sz w:val="18"/>
          <w:szCs w:val="18"/>
          <w:lang w:val="en-GB"/>
        </w:rPr>
        <w:t>7</w:t>
      </w:r>
      <w:r w:rsidRPr="006C5B12">
        <w:rPr>
          <w:color w:val="44546A" w:themeColor="text2"/>
          <w:sz w:val="18"/>
          <w:szCs w:val="18"/>
          <w:lang w:val="en-GB"/>
        </w:rPr>
        <w:fldChar w:fldCharType="end"/>
      </w:r>
      <w:r w:rsidRPr="006C5B12">
        <w:rPr>
          <w:i/>
          <w:iCs/>
          <w:color w:val="44546A" w:themeColor="text2"/>
          <w:sz w:val="18"/>
          <w:szCs w:val="18"/>
          <w:lang w:val="en-GB"/>
        </w:rPr>
        <w:t xml:space="preserve"> </w:t>
      </w:r>
      <w:r w:rsidR="00BA7E21" w:rsidRPr="006C5B12">
        <w:rPr>
          <w:i/>
          <w:iCs/>
          <w:color w:val="44546A" w:themeColor="text2"/>
          <w:sz w:val="18"/>
          <w:szCs w:val="18"/>
          <w:lang w:val="en-GB"/>
        </w:rPr>
        <w:t>IVDR</w:t>
      </w:r>
      <w:r w:rsidR="007E1250">
        <w:rPr>
          <w:i/>
          <w:iCs/>
          <w:color w:val="44546A" w:themeColor="text2"/>
          <w:sz w:val="18"/>
          <w:szCs w:val="18"/>
          <w:lang w:val="en-GB"/>
        </w:rPr>
        <w:t xml:space="preserve"> -</w:t>
      </w:r>
      <w:r w:rsidR="00184D8B">
        <w:rPr>
          <w:i/>
          <w:iCs/>
          <w:color w:val="44546A" w:themeColor="text2"/>
          <w:sz w:val="18"/>
          <w:szCs w:val="18"/>
          <w:lang w:val="en-GB"/>
        </w:rPr>
        <w:t xml:space="preserve"> Annex I, Chapter 2, Section</w:t>
      </w:r>
      <w:r w:rsidR="007C63ED">
        <w:rPr>
          <w:i/>
          <w:iCs/>
          <w:color w:val="44546A" w:themeColor="text2"/>
          <w:sz w:val="18"/>
          <w:szCs w:val="18"/>
          <w:lang w:val="en-GB"/>
        </w:rPr>
        <w:t>s</w:t>
      </w:r>
      <w:r w:rsidR="00184D8B">
        <w:rPr>
          <w:i/>
          <w:iCs/>
          <w:color w:val="44546A" w:themeColor="text2"/>
          <w:sz w:val="18"/>
          <w:szCs w:val="18"/>
          <w:lang w:val="en-GB"/>
        </w:rPr>
        <w:t xml:space="preserve"> </w:t>
      </w:r>
      <w:r w:rsidRPr="006C5B12">
        <w:rPr>
          <w:i/>
          <w:iCs/>
          <w:color w:val="44546A" w:themeColor="text2"/>
          <w:sz w:val="18"/>
          <w:szCs w:val="18"/>
          <w:lang w:val="en-GB"/>
        </w:rPr>
        <w:t xml:space="preserve">10.2, 10.3 </w:t>
      </w:r>
      <w:r w:rsidR="00184D8B">
        <w:rPr>
          <w:i/>
          <w:iCs/>
          <w:color w:val="44546A" w:themeColor="text2"/>
          <w:sz w:val="18"/>
          <w:szCs w:val="18"/>
          <w:lang w:val="en-GB"/>
        </w:rPr>
        <w:t>a</w:t>
      </w:r>
      <w:r w:rsidRPr="006C5B12">
        <w:rPr>
          <w:i/>
          <w:iCs/>
          <w:color w:val="44546A" w:themeColor="text2"/>
          <w:sz w:val="18"/>
          <w:szCs w:val="18"/>
          <w:lang w:val="en-GB"/>
        </w:rPr>
        <w:t>nd 10.4</w:t>
      </w:r>
    </w:p>
    <w:tbl>
      <w:tblPr>
        <w:tblW w:w="8784" w:type="dxa"/>
        <w:tblLook w:val="04A0" w:firstRow="1" w:lastRow="0" w:firstColumn="1" w:lastColumn="0" w:noHBand="0" w:noVBand="1"/>
      </w:tblPr>
      <w:tblGrid>
        <w:gridCol w:w="1129"/>
        <w:gridCol w:w="7655"/>
      </w:tblGrid>
      <w:tr w:rsidR="00100407" w:rsidRPr="006C5B12" w14:paraId="187CB7EC" w14:textId="77777777" w:rsidTr="006525DE">
        <w:trPr>
          <w:trHeight w:val="318"/>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155550B" w14:textId="77777777" w:rsidR="00100407" w:rsidRPr="006C5B12" w:rsidRDefault="00100407" w:rsidP="00D35F3A">
            <w:pPr>
              <w:pStyle w:val="Default"/>
              <w:spacing w:after="60"/>
              <w:rPr>
                <w:rFonts w:asciiTheme="minorHAnsi" w:hAnsiTheme="minorHAnsi" w:cstheme="minorBidi"/>
                <w:b/>
                <w:bCs/>
                <w:i/>
                <w:color w:val="auto"/>
                <w:sz w:val="20"/>
                <w:szCs w:val="20"/>
              </w:rPr>
            </w:pPr>
            <w:r w:rsidRPr="006C5B12">
              <w:rPr>
                <w:rFonts w:asciiTheme="minorHAnsi" w:hAnsiTheme="minorHAnsi" w:cstheme="minorBidi"/>
                <w:b/>
                <w:bCs/>
                <w:i/>
                <w:color w:val="auto"/>
                <w:sz w:val="20"/>
                <w:szCs w:val="20"/>
              </w:rPr>
              <w:t>IVDR</w:t>
            </w:r>
          </w:p>
        </w:tc>
      </w:tr>
      <w:tr w:rsidR="00100407" w:rsidRPr="006C5B12" w14:paraId="2654A72F" w14:textId="77777777" w:rsidTr="006525DE">
        <w:trPr>
          <w:trHeight w:val="280"/>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tcPr>
          <w:p w14:paraId="03A8A34B" w14:textId="5A6AD17C" w:rsidR="00100407" w:rsidRPr="006C5B12" w:rsidRDefault="00100407" w:rsidP="00D35F3A">
            <w:pPr>
              <w:pStyle w:val="Default"/>
              <w:spacing w:after="60"/>
              <w:rPr>
                <w:rFonts w:asciiTheme="minorHAnsi" w:hAnsiTheme="minorHAnsi" w:cstheme="minorBidi"/>
                <w:i/>
                <w:color w:val="auto"/>
                <w:sz w:val="20"/>
                <w:szCs w:val="20"/>
              </w:rPr>
            </w:pPr>
            <w:r w:rsidRPr="006C5B12">
              <w:rPr>
                <w:rFonts w:asciiTheme="minorHAnsi" w:hAnsiTheme="minorHAnsi" w:cstheme="minorBidi"/>
                <w:i/>
                <w:color w:val="auto"/>
                <w:sz w:val="20"/>
                <w:szCs w:val="20"/>
              </w:rPr>
              <w:t>An</w:t>
            </w:r>
            <w:r w:rsidR="00A975C9">
              <w:rPr>
                <w:rFonts w:asciiTheme="minorHAnsi" w:hAnsiTheme="minorHAnsi" w:cstheme="minorBidi"/>
                <w:i/>
                <w:color w:val="auto"/>
                <w:sz w:val="20"/>
                <w:szCs w:val="20"/>
              </w:rPr>
              <w:t>nex</w:t>
            </w:r>
            <w:r w:rsidRPr="006C5B12">
              <w:rPr>
                <w:rFonts w:asciiTheme="minorHAnsi" w:hAnsiTheme="minorHAnsi" w:cstheme="minorBidi"/>
                <w:i/>
                <w:color w:val="auto"/>
                <w:sz w:val="20"/>
                <w:szCs w:val="20"/>
              </w:rPr>
              <w:t xml:space="preserve"> 1 </w:t>
            </w:r>
            <w:r w:rsidR="00A975C9">
              <w:rPr>
                <w:rFonts w:asciiTheme="minorHAnsi" w:hAnsiTheme="minorHAnsi" w:cstheme="minorBidi"/>
                <w:i/>
                <w:color w:val="auto"/>
                <w:sz w:val="20"/>
                <w:szCs w:val="20"/>
              </w:rPr>
              <w:t>Chapter</w:t>
            </w:r>
            <w:r w:rsidRPr="006C5B12">
              <w:rPr>
                <w:rFonts w:asciiTheme="minorHAnsi" w:hAnsiTheme="minorHAnsi" w:cstheme="minorBidi"/>
                <w:i/>
                <w:color w:val="auto"/>
                <w:sz w:val="20"/>
                <w:szCs w:val="20"/>
              </w:rPr>
              <w:t xml:space="preserve"> 2</w:t>
            </w:r>
          </w:p>
        </w:tc>
        <w:tc>
          <w:tcPr>
            <w:tcW w:w="7655" w:type="dxa"/>
            <w:tcBorders>
              <w:top w:val="single" w:sz="4" w:space="0" w:color="auto"/>
              <w:left w:val="single" w:sz="4" w:space="0" w:color="auto"/>
              <w:bottom w:val="single" w:sz="4" w:space="0" w:color="auto"/>
              <w:right w:val="single" w:sz="4" w:space="0" w:color="auto"/>
            </w:tcBorders>
            <w:shd w:val="clear" w:color="auto" w:fill="E7E6E6" w:themeFill="background2"/>
          </w:tcPr>
          <w:p w14:paraId="778D1D74" w14:textId="77777777" w:rsidR="00100407" w:rsidRPr="006C5B12" w:rsidRDefault="00100407" w:rsidP="00D35F3A">
            <w:pPr>
              <w:pStyle w:val="Default"/>
              <w:spacing w:after="60"/>
              <w:rPr>
                <w:rFonts w:asciiTheme="minorHAnsi" w:hAnsiTheme="minorHAnsi" w:cstheme="minorBidi"/>
                <w:i/>
                <w:color w:val="auto"/>
                <w:sz w:val="20"/>
                <w:szCs w:val="20"/>
              </w:rPr>
            </w:pPr>
          </w:p>
        </w:tc>
      </w:tr>
      <w:tr w:rsidR="00100407" w:rsidRPr="00D02B35" w14:paraId="43D18BB9" w14:textId="77777777" w:rsidTr="006525DE">
        <w:trPr>
          <w:trHeight w:val="618"/>
        </w:trPr>
        <w:tc>
          <w:tcPr>
            <w:tcW w:w="1129" w:type="dxa"/>
            <w:tcBorders>
              <w:top w:val="single" w:sz="4" w:space="0" w:color="auto"/>
              <w:left w:val="single" w:sz="4" w:space="0" w:color="auto"/>
              <w:bottom w:val="single" w:sz="4" w:space="0" w:color="auto"/>
              <w:right w:val="single" w:sz="4" w:space="0" w:color="auto"/>
            </w:tcBorders>
          </w:tcPr>
          <w:p w14:paraId="189E7E62" w14:textId="5F6C61B5" w:rsidR="00100407" w:rsidRPr="006C5B12" w:rsidRDefault="00A975C9" w:rsidP="006525DE">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100407" w:rsidRPr="006C5B12">
              <w:rPr>
                <w:rFonts w:asciiTheme="minorHAnsi" w:hAnsiTheme="minorHAnsi" w:cstheme="minorBidi"/>
                <w:i/>
                <w:color w:val="auto"/>
                <w:sz w:val="20"/>
                <w:szCs w:val="20"/>
              </w:rPr>
              <w:t xml:space="preserve"> 10.2</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4E930164" w14:textId="77777777" w:rsidR="00184D8B" w:rsidRPr="00184D8B" w:rsidRDefault="00184D8B" w:rsidP="00D35F3A">
            <w:pPr>
              <w:pStyle w:val="Default"/>
              <w:spacing w:after="60"/>
              <w:rPr>
                <w:rFonts w:asciiTheme="minorHAnsi" w:hAnsiTheme="minorHAnsi" w:cstheme="minorBidi"/>
                <w:i/>
                <w:color w:val="auto"/>
                <w:sz w:val="20"/>
                <w:szCs w:val="20"/>
              </w:rPr>
            </w:pPr>
            <w:r w:rsidRPr="00184D8B">
              <w:rPr>
                <w:rFonts w:asciiTheme="minorHAnsi" w:hAnsiTheme="minorHAnsi" w:cstheme="minorBidi"/>
                <w:i/>
                <w:color w:val="auto"/>
                <w:sz w:val="20"/>
                <w:szCs w:val="20"/>
              </w:rPr>
              <w:t xml:space="preserve">Devices shall be designed, manufactured and packaged in such a way as to minimise the risk posed by contaminants and residues to patients - taking account of the intended purpose of the device - and to the persons involved in the transport, storage and use of the devices. </w:t>
            </w:r>
          </w:p>
          <w:p w14:paraId="4BAE8065" w14:textId="41FD9CB5" w:rsidR="00184D8B" w:rsidRPr="006C5B12" w:rsidRDefault="00184D8B" w:rsidP="00184D8B">
            <w:pPr>
              <w:pStyle w:val="Default"/>
              <w:spacing w:after="60"/>
              <w:rPr>
                <w:rFonts w:asciiTheme="minorHAnsi" w:hAnsiTheme="minorHAnsi" w:cstheme="minorBidi"/>
                <w:i/>
                <w:color w:val="auto"/>
                <w:sz w:val="20"/>
                <w:szCs w:val="20"/>
              </w:rPr>
            </w:pPr>
            <w:r w:rsidRPr="00184D8B">
              <w:rPr>
                <w:rFonts w:asciiTheme="minorHAnsi" w:hAnsiTheme="minorHAnsi" w:cstheme="minorBidi"/>
                <w:i/>
                <w:color w:val="auto"/>
                <w:sz w:val="20"/>
                <w:szCs w:val="20"/>
              </w:rPr>
              <w:t>Particular attention shall be paid to tissues exposed to those contaminants and residues and to the duration and frequency of exposure.</w:t>
            </w:r>
            <w:r>
              <w:rPr>
                <w:shd w:val="clear" w:color="auto" w:fill="FFFFFF"/>
              </w:rPr>
              <w:t xml:space="preserve"> </w:t>
            </w:r>
          </w:p>
          <w:p w14:paraId="136333F2" w14:textId="74786B8F" w:rsidR="00100407" w:rsidRPr="006C5B12" w:rsidRDefault="00100407" w:rsidP="00D35F3A">
            <w:pPr>
              <w:pStyle w:val="Default"/>
              <w:spacing w:after="60"/>
              <w:rPr>
                <w:rFonts w:asciiTheme="minorHAnsi" w:hAnsiTheme="minorHAnsi" w:cstheme="minorBidi"/>
                <w:i/>
                <w:color w:val="auto"/>
                <w:sz w:val="20"/>
                <w:szCs w:val="20"/>
              </w:rPr>
            </w:pPr>
          </w:p>
        </w:tc>
      </w:tr>
      <w:tr w:rsidR="00100407" w:rsidRPr="00D02B35" w14:paraId="20072199" w14:textId="77777777" w:rsidTr="006525DE">
        <w:trPr>
          <w:trHeight w:val="58"/>
        </w:trPr>
        <w:tc>
          <w:tcPr>
            <w:tcW w:w="1129" w:type="dxa"/>
            <w:tcBorders>
              <w:top w:val="nil"/>
              <w:left w:val="single" w:sz="4" w:space="0" w:color="auto"/>
              <w:bottom w:val="single" w:sz="4" w:space="0" w:color="auto"/>
              <w:right w:val="single" w:sz="4" w:space="0" w:color="auto"/>
            </w:tcBorders>
          </w:tcPr>
          <w:p w14:paraId="58EA1664" w14:textId="2F60FE02" w:rsidR="00100407" w:rsidRPr="006C5B12" w:rsidRDefault="00A975C9" w:rsidP="006525DE">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Pr="006C5B12">
              <w:rPr>
                <w:rFonts w:asciiTheme="minorHAnsi" w:hAnsiTheme="minorHAnsi" w:cstheme="minorBidi"/>
                <w:i/>
                <w:color w:val="auto"/>
                <w:sz w:val="20"/>
                <w:szCs w:val="20"/>
              </w:rPr>
              <w:t xml:space="preserve"> </w:t>
            </w:r>
            <w:r w:rsidR="00100407" w:rsidRPr="006C5B12">
              <w:rPr>
                <w:rFonts w:asciiTheme="minorHAnsi" w:hAnsiTheme="minorHAnsi" w:cstheme="minorBidi"/>
                <w:i/>
                <w:color w:val="auto"/>
                <w:sz w:val="20"/>
                <w:szCs w:val="20"/>
              </w:rPr>
              <w:t>10.3</w:t>
            </w:r>
          </w:p>
        </w:tc>
        <w:tc>
          <w:tcPr>
            <w:tcW w:w="7655" w:type="dxa"/>
            <w:tcBorders>
              <w:top w:val="nil"/>
              <w:left w:val="single" w:sz="4" w:space="0" w:color="auto"/>
              <w:bottom w:val="single" w:sz="4" w:space="0" w:color="auto"/>
              <w:right w:val="single" w:sz="4" w:space="0" w:color="auto"/>
            </w:tcBorders>
            <w:shd w:val="clear" w:color="auto" w:fill="auto"/>
          </w:tcPr>
          <w:p w14:paraId="7AFFF757" w14:textId="46FD2A0B" w:rsidR="00100407" w:rsidRPr="006C5B12" w:rsidRDefault="00A975C9" w:rsidP="007C63ED">
            <w:pPr>
              <w:pStyle w:val="Default"/>
              <w:rPr>
                <w:rFonts w:asciiTheme="minorHAnsi" w:hAnsiTheme="minorHAnsi" w:cstheme="minorBidi"/>
                <w:i/>
                <w:color w:val="auto"/>
                <w:sz w:val="20"/>
                <w:szCs w:val="20"/>
              </w:rPr>
            </w:pPr>
            <w:r w:rsidRPr="00A975C9">
              <w:rPr>
                <w:rFonts w:asciiTheme="minorHAnsi" w:hAnsiTheme="minorHAnsi" w:cstheme="minorBidi"/>
                <w:i/>
                <w:color w:val="auto"/>
                <w:sz w:val="20"/>
                <w:szCs w:val="20"/>
              </w:rPr>
              <w:t>Devices shall be designed and manufactured in such a way as to reduce to a level as low as reasonably practicable the risks posed by substances or particles, including wear debris, degradation products and processing residues, that may be released from the device</w:t>
            </w:r>
            <w:r w:rsidR="004A6052">
              <w:rPr>
                <w:rFonts w:asciiTheme="minorHAnsi" w:hAnsiTheme="minorHAnsi" w:cstheme="minorBidi"/>
                <w:i/>
                <w:color w:val="auto"/>
                <w:sz w:val="20"/>
                <w:szCs w:val="20"/>
              </w:rPr>
              <w:t>.</w:t>
            </w:r>
            <w:r w:rsidRPr="006C5B12">
              <w:rPr>
                <w:rFonts w:asciiTheme="minorHAnsi" w:hAnsiTheme="minorHAnsi" w:cstheme="minorBidi"/>
                <w:i/>
                <w:color w:val="auto"/>
                <w:sz w:val="20"/>
                <w:szCs w:val="20"/>
              </w:rPr>
              <w:t xml:space="preserve"> </w:t>
            </w:r>
          </w:p>
          <w:p w14:paraId="2769E088" w14:textId="7CDDDD53" w:rsidR="00100407" w:rsidRPr="006C5B12" w:rsidRDefault="00A975C9" w:rsidP="007C63ED">
            <w:pPr>
              <w:pStyle w:val="Default"/>
              <w:rPr>
                <w:rFonts w:asciiTheme="minorHAnsi" w:hAnsiTheme="minorHAnsi" w:cstheme="minorBidi"/>
                <w:i/>
                <w:color w:val="auto"/>
                <w:sz w:val="20"/>
                <w:szCs w:val="20"/>
              </w:rPr>
            </w:pPr>
            <w:r w:rsidRPr="00A975C9">
              <w:rPr>
                <w:rFonts w:asciiTheme="minorHAnsi" w:hAnsiTheme="minorHAnsi" w:cstheme="minorBidi"/>
                <w:i/>
                <w:color w:val="auto"/>
                <w:sz w:val="20"/>
                <w:szCs w:val="20"/>
              </w:rPr>
              <w:t>Special attention shall be given to substances which are carcinogenic, mutagenic or toxic to reproduction (‘CMR’), in accordance with Part 3 of Annex VI to Regulation (EC) No 1272/2008 of the European Parliament and of the Council</w:t>
            </w:r>
            <w:hyperlink r:id="rId9" w:anchor="ntr1-L_2017117EN.01026001-E0001" w:history="1">
              <w:r w:rsidRPr="00A975C9">
                <w:rPr>
                  <w:rFonts w:asciiTheme="minorHAnsi" w:hAnsiTheme="minorHAnsi" w:cstheme="minorBidi"/>
                  <w:i/>
                  <w:color w:val="auto"/>
                  <w:sz w:val="20"/>
                  <w:szCs w:val="20"/>
                </w:rPr>
                <w:t> (1)</w:t>
              </w:r>
            </w:hyperlink>
            <w:r w:rsidRPr="00A975C9">
              <w:rPr>
                <w:rFonts w:asciiTheme="minorHAnsi" w:hAnsiTheme="minorHAnsi" w:cstheme="minorBidi"/>
                <w:i/>
                <w:color w:val="auto"/>
                <w:sz w:val="20"/>
                <w:szCs w:val="20"/>
              </w:rPr>
              <w:t>, and to substances having endocrine disrupting properties for which there is scientific evidence of probable serious effects to human health and which are identified in accordance with the procedure set out in Article 59 of Regulation (EC) No 1907/2006 of the European Parliament and of the Council</w:t>
            </w:r>
            <w:hyperlink r:id="rId10" w:anchor="ntr2-L_2017117EN.01026001-E0002" w:history="1">
              <w:r w:rsidRPr="00A975C9">
                <w:rPr>
                  <w:rFonts w:asciiTheme="minorHAnsi" w:hAnsiTheme="minorHAnsi" w:cstheme="minorBidi"/>
                  <w:i/>
                  <w:color w:val="auto"/>
                  <w:sz w:val="20"/>
                  <w:szCs w:val="20"/>
                </w:rPr>
                <w:t> (2)</w:t>
              </w:r>
            </w:hyperlink>
            <w:r w:rsidRPr="00A975C9">
              <w:rPr>
                <w:rFonts w:asciiTheme="minorHAnsi" w:hAnsiTheme="minorHAnsi" w:cstheme="minorBidi"/>
                <w:i/>
                <w:color w:val="auto"/>
                <w:sz w:val="20"/>
                <w:szCs w:val="20"/>
              </w:rPr>
              <w:t>.</w:t>
            </w:r>
            <w:r w:rsidRPr="006C5B12">
              <w:rPr>
                <w:rFonts w:asciiTheme="minorHAnsi" w:hAnsiTheme="minorHAnsi" w:cstheme="minorBidi"/>
                <w:i/>
                <w:color w:val="auto"/>
                <w:sz w:val="20"/>
                <w:szCs w:val="20"/>
              </w:rPr>
              <w:t xml:space="preserve"> </w:t>
            </w:r>
          </w:p>
        </w:tc>
      </w:tr>
      <w:tr w:rsidR="00100407" w:rsidRPr="00D02B35" w14:paraId="544289EE" w14:textId="77777777" w:rsidTr="006525DE">
        <w:trPr>
          <w:trHeight w:val="282"/>
        </w:trPr>
        <w:tc>
          <w:tcPr>
            <w:tcW w:w="1129" w:type="dxa"/>
            <w:tcBorders>
              <w:top w:val="nil"/>
              <w:left w:val="single" w:sz="4" w:space="0" w:color="auto"/>
              <w:bottom w:val="single" w:sz="4" w:space="0" w:color="auto"/>
              <w:right w:val="single" w:sz="4" w:space="0" w:color="auto"/>
            </w:tcBorders>
          </w:tcPr>
          <w:p w14:paraId="4CA0A9E5" w14:textId="31B999AE" w:rsidR="00100407" w:rsidRPr="006C5B12" w:rsidRDefault="00A975C9" w:rsidP="00D35F3A">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Section</w:t>
            </w:r>
            <w:r w:rsidRPr="006C5B12">
              <w:rPr>
                <w:rFonts w:asciiTheme="minorHAnsi" w:hAnsiTheme="minorHAnsi" w:cstheme="minorBidi"/>
                <w:i/>
                <w:color w:val="auto"/>
                <w:sz w:val="20"/>
                <w:szCs w:val="20"/>
              </w:rPr>
              <w:t xml:space="preserve"> </w:t>
            </w:r>
            <w:r w:rsidR="00100407" w:rsidRPr="006C5B12">
              <w:rPr>
                <w:rFonts w:asciiTheme="minorHAnsi" w:hAnsiTheme="minorHAnsi" w:cstheme="minorBidi"/>
                <w:i/>
                <w:color w:val="auto"/>
                <w:sz w:val="20"/>
                <w:szCs w:val="20"/>
              </w:rPr>
              <w:t>10.4</w:t>
            </w:r>
          </w:p>
        </w:tc>
        <w:tc>
          <w:tcPr>
            <w:tcW w:w="7655" w:type="dxa"/>
            <w:tcBorders>
              <w:top w:val="nil"/>
              <w:left w:val="single" w:sz="4" w:space="0" w:color="auto"/>
              <w:bottom w:val="single" w:sz="4" w:space="0" w:color="auto"/>
              <w:right w:val="single" w:sz="4" w:space="0" w:color="auto"/>
            </w:tcBorders>
            <w:shd w:val="clear" w:color="auto" w:fill="auto"/>
          </w:tcPr>
          <w:p w14:paraId="4AA2A2B0" w14:textId="04AE4873" w:rsidR="00100407" w:rsidRPr="006C5B12" w:rsidRDefault="00A975C9" w:rsidP="00D35F3A">
            <w:pPr>
              <w:pStyle w:val="Default"/>
              <w:spacing w:after="60"/>
              <w:rPr>
                <w:rFonts w:asciiTheme="minorHAnsi" w:hAnsiTheme="minorHAnsi" w:cstheme="minorBidi"/>
                <w:i/>
                <w:color w:val="auto"/>
                <w:sz w:val="20"/>
                <w:szCs w:val="20"/>
              </w:rPr>
            </w:pPr>
            <w:r w:rsidRPr="00A975C9">
              <w:rPr>
                <w:rFonts w:asciiTheme="minorHAnsi" w:hAnsiTheme="minorHAnsi" w:cstheme="minorBidi"/>
                <w:i/>
                <w:color w:val="auto"/>
                <w:sz w:val="20"/>
                <w:szCs w:val="20"/>
              </w:rPr>
              <w:t xml:space="preserve">Devices shall be designed and manufactured in such a way as to reduce as far as possible the risks posed by the unintentional ingress of substances into the device, </w:t>
            </w:r>
            <w:proofErr w:type="gramStart"/>
            <w:r w:rsidRPr="00A975C9">
              <w:rPr>
                <w:rFonts w:asciiTheme="minorHAnsi" w:hAnsiTheme="minorHAnsi" w:cstheme="minorBidi"/>
                <w:i/>
                <w:color w:val="auto"/>
                <w:sz w:val="20"/>
                <w:szCs w:val="20"/>
              </w:rPr>
              <w:t>taking into account</w:t>
            </w:r>
            <w:proofErr w:type="gramEnd"/>
            <w:r w:rsidRPr="00A975C9">
              <w:rPr>
                <w:rFonts w:asciiTheme="minorHAnsi" w:hAnsiTheme="minorHAnsi" w:cstheme="minorBidi"/>
                <w:i/>
                <w:color w:val="auto"/>
                <w:sz w:val="20"/>
                <w:szCs w:val="20"/>
              </w:rPr>
              <w:t xml:space="preserve"> the device and the nature of the environment in which it is intended to be used.</w:t>
            </w:r>
            <w:r w:rsidRPr="006C5B12">
              <w:rPr>
                <w:rFonts w:asciiTheme="minorHAnsi" w:hAnsiTheme="minorHAnsi" w:cstheme="minorBidi"/>
                <w:i/>
                <w:color w:val="auto"/>
                <w:sz w:val="20"/>
                <w:szCs w:val="20"/>
              </w:rPr>
              <w:t xml:space="preserve"> </w:t>
            </w:r>
          </w:p>
        </w:tc>
      </w:tr>
    </w:tbl>
    <w:p w14:paraId="7C65D684" w14:textId="77777777" w:rsidR="00100407" w:rsidRPr="006C5B12" w:rsidRDefault="00100407" w:rsidP="00100407">
      <w:pPr>
        <w:rPr>
          <w:lang w:val="en-GB"/>
        </w:rPr>
      </w:pPr>
    </w:p>
    <w:p w14:paraId="46AE96AA" w14:textId="4C2A0509" w:rsidR="00100407" w:rsidRPr="006C5B12" w:rsidRDefault="00100407" w:rsidP="00F4147C">
      <w:pPr>
        <w:pStyle w:val="berschrift2"/>
        <w:rPr>
          <w:lang w:val="en-GB"/>
        </w:rPr>
      </w:pPr>
      <w:r w:rsidRPr="006C5B12">
        <w:rPr>
          <w:lang w:val="en-GB"/>
        </w:rPr>
        <w:lastRenderedPageBreak/>
        <w:t>Ris</w:t>
      </w:r>
      <w:r w:rsidR="007E1250">
        <w:rPr>
          <w:lang w:val="en-GB"/>
        </w:rPr>
        <w:t>ks related to infection and microbial contamination</w:t>
      </w:r>
    </w:p>
    <w:p w14:paraId="459239CB" w14:textId="6E93E61C" w:rsidR="00F76910" w:rsidRPr="006C5B12" w:rsidRDefault="00F76910" w:rsidP="006525DE">
      <w:pPr>
        <w:pStyle w:val="Beschriftung"/>
        <w:rPr>
          <w:lang w:val="en-GB"/>
        </w:rPr>
      </w:pPr>
      <w:r w:rsidRPr="006C5B12">
        <w:rPr>
          <w:lang w:val="en-GB"/>
        </w:rPr>
        <w:t xml:space="preserve">Table </w:t>
      </w:r>
      <w:r w:rsidR="00F80F8D" w:rsidRPr="006C5B12">
        <w:rPr>
          <w:noProof/>
          <w:lang w:val="en-GB"/>
        </w:rPr>
        <w:fldChar w:fldCharType="begin"/>
      </w:r>
      <w:r w:rsidR="00F80F8D" w:rsidRPr="006C5B12">
        <w:rPr>
          <w:noProof/>
          <w:lang w:val="en-GB"/>
        </w:rPr>
        <w:instrText xml:space="preserve"> SEQ Tabelle \* ARABIC </w:instrText>
      </w:r>
      <w:r w:rsidR="00F80F8D" w:rsidRPr="006C5B12">
        <w:rPr>
          <w:noProof/>
          <w:lang w:val="en-GB"/>
        </w:rPr>
        <w:fldChar w:fldCharType="separate"/>
      </w:r>
      <w:r w:rsidR="00087CA3" w:rsidRPr="006C5B12">
        <w:rPr>
          <w:noProof/>
          <w:lang w:val="en-GB"/>
        </w:rPr>
        <w:t>8</w:t>
      </w:r>
      <w:r w:rsidR="00F80F8D" w:rsidRPr="006C5B12">
        <w:rPr>
          <w:noProof/>
          <w:lang w:val="en-GB"/>
        </w:rPr>
        <w:fldChar w:fldCharType="end"/>
      </w:r>
      <w:r w:rsidRPr="006C5B12">
        <w:rPr>
          <w:lang w:val="en-GB"/>
        </w:rPr>
        <w:t xml:space="preserve"> </w:t>
      </w:r>
      <w:r w:rsidR="001E03FF" w:rsidRPr="006C5B12">
        <w:rPr>
          <w:lang w:val="en-GB"/>
        </w:rPr>
        <w:t xml:space="preserve">IVDR - </w:t>
      </w:r>
      <w:r w:rsidRPr="006C5B12">
        <w:rPr>
          <w:lang w:val="en-GB"/>
        </w:rPr>
        <w:t>An</w:t>
      </w:r>
      <w:r w:rsidR="007E1250">
        <w:rPr>
          <w:lang w:val="en-GB"/>
        </w:rPr>
        <w:t>nex</w:t>
      </w:r>
      <w:r w:rsidRPr="006C5B12">
        <w:rPr>
          <w:lang w:val="en-GB"/>
        </w:rPr>
        <w:t xml:space="preserve"> I, </w:t>
      </w:r>
      <w:r w:rsidR="007E1250">
        <w:rPr>
          <w:lang w:val="en-GB"/>
        </w:rPr>
        <w:t>Chapter</w:t>
      </w:r>
      <w:r w:rsidRPr="006C5B12">
        <w:rPr>
          <w:lang w:val="en-GB"/>
        </w:rPr>
        <w:t xml:space="preserve"> 2, </w:t>
      </w:r>
      <w:r w:rsidR="007E1250">
        <w:rPr>
          <w:lang w:val="en-GB"/>
        </w:rPr>
        <w:t>Section</w:t>
      </w:r>
      <w:r w:rsidR="001B45BF">
        <w:rPr>
          <w:lang w:val="en-GB"/>
        </w:rPr>
        <w:t>s</w:t>
      </w:r>
      <w:r w:rsidRPr="006C5B12">
        <w:rPr>
          <w:lang w:val="en-GB"/>
        </w:rPr>
        <w:t xml:space="preserve"> 11.1 </w:t>
      </w:r>
      <w:r w:rsidR="007E1250">
        <w:rPr>
          <w:lang w:val="en-GB"/>
        </w:rPr>
        <w:t>a</w:t>
      </w:r>
      <w:r w:rsidRPr="006C5B12">
        <w:rPr>
          <w:lang w:val="en-GB"/>
        </w:rPr>
        <w:t>nd 11.5</w:t>
      </w:r>
    </w:p>
    <w:tbl>
      <w:tblPr>
        <w:tblW w:w="8784" w:type="dxa"/>
        <w:tblLook w:val="04A0" w:firstRow="1" w:lastRow="0" w:firstColumn="1" w:lastColumn="0" w:noHBand="0" w:noVBand="1"/>
      </w:tblPr>
      <w:tblGrid>
        <w:gridCol w:w="1413"/>
        <w:gridCol w:w="7371"/>
      </w:tblGrid>
      <w:tr w:rsidR="00100407" w:rsidRPr="006C5B12" w14:paraId="0934545B" w14:textId="77777777" w:rsidTr="00776F4D">
        <w:trPr>
          <w:trHeight w:val="318"/>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B78ED4D" w14:textId="77777777" w:rsidR="00100407" w:rsidRPr="006C5B12" w:rsidRDefault="00100407" w:rsidP="00776F4D">
            <w:pPr>
              <w:pStyle w:val="Default"/>
              <w:spacing w:after="60"/>
              <w:rPr>
                <w:rFonts w:asciiTheme="minorHAnsi" w:hAnsiTheme="minorHAnsi" w:cstheme="minorBidi"/>
                <w:b/>
                <w:bCs/>
                <w:i/>
                <w:color w:val="auto"/>
                <w:sz w:val="20"/>
                <w:szCs w:val="20"/>
              </w:rPr>
            </w:pPr>
            <w:r w:rsidRPr="006C5B12">
              <w:rPr>
                <w:rFonts w:asciiTheme="minorHAnsi" w:hAnsiTheme="minorHAnsi" w:cstheme="minorBidi"/>
                <w:b/>
                <w:bCs/>
                <w:i/>
                <w:color w:val="auto"/>
                <w:sz w:val="20"/>
                <w:szCs w:val="20"/>
              </w:rPr>
              <w:t>IVDR</w:t>
            </w:r>
          </w:p>
        </w:tc>
      </w:tr>
      <w:tr w:rsidR="00100407" w:rsidRPr="006C5B12" w14:paraId="302CFE2C" w14:textId="77777777" w:rsidTr="00776F4D">
        <w:trPr>
          <w:trHeight w:val="280"/>
        </w:trPr>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tcPr>
          <w:p w14:paraId="3794CF12" w14:textId="4BB18CDE" w:rsidR="00100407" w:rsidRPr="006C5B12" w:rsidRDefault="00100407" w:rsidP="00776F4D">
            <w:pPr>
              <w:pStyle w:val="Default"/>
              <w:spacing w:after="60"/>
              <w:rPr>
                <w:rFonts w:asciiTheme="minorHAnsi" w:hAnsiTheme="minorHAnsi" w:cstheme="minorBidi"/>
                <w:i/>
                <w:color w:val="auto"/>
                <w:sz w:val="20"/>
                <w:szCs w:val="20"/>
              </w:rPr>
            </w:pPr>
            <w:r w:rsidRPr="006C5B12">
              <w:rPr>
                <w:rFonts w:asciiTheme="minorHAnsi" w:hAnsiTheme="minorHAnsi" w:cstheme="minorBidi"/>
                <w:i/>
                <w:color w:val="auto"/>
                <w:sz w:val="20"/>
                <w:szCs w:val="20"/>
              </w:rPr>
              <w:t>An</w:t>
            </w:r>
            <w:r w:rsidR="007E1250">
              <w:rPr>
                <w:rFonts w:asciiTheme="minorHAnsi" w:hAnsiTheme="minorHAnsi" w:cstheme="minorBidi"/>
                <w:i/>
                <w:color w:val="auto"/>
                <w:sz w:val="20"/>
                <w:szCs w:val="20"/>
              </w:rPr>
              <w:t>nex</w:t>
            </w:r>
            <w:r w:rsidRPr="006C5B12">
              <w:rPr>
                <w:rFonts w:asciiTheme="minorHAnsi" w:hAnsiTheme="minorHAnsi" w:cstheme="minorBidi"/>
                <w:i/>
                <w:color w:val="auto"/>
                <w:sz w:val="20"/>
                <w:szCs w:val="20"/>
              </w:rPr>
              <w:t xml:space="preserve"> 1 </w:t>
            </w:r>
            <w:r w:rsidR="007E1250">
              <w:rPr>
                <w:rFonts w:asciiTheme="minorHAnsi" w:hAnsiTheme="minorHAnsi" w:cstheme="minorBidi"/>
                <w:i/>
                <w:color w:val="auto"/>
                <w:sz w:val="20"/>
                <w:szCs w:val="20"/>
              </w:rPr>
              <w:t>Chapter</w:t>
            </w:r>
            <w:r w:rsidRPr="006C5B12">
              <w:rPr>
                <w:rFonts w:asciiTheme="minorHAnsi" w:hAnsiTheme="minorHAnsi" w:cstheme="minorBidi"/>
                <w:i/>
                <w:color w:val="auto"/>
                <w:sz w:val="20"/>
                <w:szCs w:val="20"/>
              </w:rPr>
              <w:t xml:space="preserve"> 2</w:t>
            </w:r>
          </w:p>
        </w:tc>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62D8BF3A" w14:textId="77777777" w:rsidR="00100407" w:rsidRPr="006C5B12" w:rsidRDefault="00100407" w:rsidP="00776F4D">
            <w:pPr>
              <w:pStyle w:val="Default"/>
              <w:spacing w:after="60"/>
              <w:rPr>
                <w:rFonts w:asciiTheme="minorHAnsi" w:hAnsiTheme="minorHAnsi" w:cstheme="minorBidi"/>
                <w:i/>
                <w:color w:val="auto"/>
                <w:sz w:val="20"/>
                <w:szCs w:val="20"/>
              </w:rPr>
            </w:pPr>
          </w:p>
        </w:tc>
      </w:tr>
      <w:tr w:rsidR="00100407" w:rsidRPr="006C5B12" w14:paraId="2FA6E527"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491F9941" w14:textId="37CFD7CF" w:rsidR="00100407" w:rsidRPr="006C5B12" w:rsidRDefault="007E1250" w:rsidP="0063702D">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100407" w:rsidRPr="006C5B12">
              <w:rPr>
                <w:rFonts w:asciiTheme="minorHAnsi" w:hAnsiTheme="minorHAnsi" w:cstheme="minorBidi"/>
                <w:i/>
                <w:color w:val="auto"/>
                <w:sz w:val="20"/>
                <w:szCs w:val="20"/>
              </w:rPr>
              <w:t xml:space="preserve"> 11.1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5C472016" w14:textId="65BABB44" w:rsidR="00100407" w:rsidRPr="006C5B12" w:rsidRDefault="007E1250" w:rsidP="00776F4D">
            <w:pPr>
              <w:pStyle w:val="Default"/>
              <w:spacing w:after="60"/>
              <w:rPr>
                <w:rFonts w:asciiTheme="minorHAnsi" w:hAnsiTheme="minorHAnsi" w:cstheme="minorBidi"/>
                <w:i/>
                <w:color w:val="auto"/>
                <w:sz w:val="20"/>
                <w:szCs w:val="20"/>
              </w:rPr>
            </w:pPr>
            <w:r w:rsidRPr="007E1250">
              <w:rPr>
                <w:rFonts w:asciiTheme="minorHAnsi" w:hAnsiTheme="minorHAnsi" w:cstheme="minorBidi"/>
                <w:i/>
                <w:color w:val="auto"/>
                <w:sz w:val="20"/>
                <w:szCs w:val="20"/>
              </w:rPr>
              <w:t>Devices and their manufacturing processes shall be designed in such a way as to eliminate or reduce as far as possible the risk of infection to the user or, where applicable, other persons. The design shall</w:t>
            </w:r>
            <w:r w:rsidRPr="006C5B12">
              <w:rPr>
                <w:rFonts w:asciiTheme="minorHAnsi" w:hAnsiTheme="minorHAnsi" w:cstheme="minorBidi"/>
                <w:i/>
                <w:color w:val="auto"/>
                <w:sz w:val="20"/>
                <w:szCs w:val="20"/>
              </w:rPr>
              <w:t xml:space="preserve"> </w:t>
            </w:r>
          </w:p>
        </w:tc>
      </w:tr>
      <w:tr w:rsidR="00100407" w:rsidRPr="00D02B35" w14:paraId="7C277583" w14:textId="77777777" w:rsidTr="006525DE">
        <w:trPr>
          <w:trHeight w:val="274"/>
        </w:trPr>
        <w:tc>
          <w:tcPr>
            <w:tcW w:w="1413" w:type="dxa"/>
            <w:tcBorders>
              <w:top w:val="single" w:sz="4" w:space="0" w:color="auto"/>
              <w:left w:val="single" w:sz="4" w:space="0" w:color="auto"/>
              <w:bottom w:val="single" w:sz="4" w:space="0" w:color="auto"/>
              <w:right w:val="single" w:sz="4" w:space="0" w:color="auto"/>
            </w:tcBorders>
          </w:tcPr>
          <w:p w14:paraId="30B1D7FE" w14:textId="09010195" w:rsidR="00100407" w:rsidRPr="006C5B12" w:rsidRDefault="00100407" w:rsidP="00776F4D">
            <w:pPr>
              <w:pStyle w:val="Default"/>
              <w:spacing w:after="60"/>
              <w:jc w:val="right"/>
              <w:rPr>
                <w:rFonts w:asciiTheme="minorHAnsi" w:hAnsiTheme="minorHAnsi" w:cstheme="minorBidi"/>
                <w:i/>
                <w:color w:val="auto"/>
                <w:sz w:val="22"/>
                <w:szCs w:val="22"/>
              </w:rPr>
            </w:pPr>
            <w:r w:rsidRPr="006C5B12">
              <w:rPr>
                <w:rFonts w:asciiTheme="minorHAnsi" w:hAnsiTheme="minorHAnsi" w:cstheme="minorBidi"/>
                <w:i/>
                <w:color w:val="auto"/>
                <w:sz w:val="22"/>
                <w:szCs w:val="22"/>
              </w:rPr>
              <w:t>a)</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1B80869" w14:textId="5F352D58" w:rsidR="00100407" w:rsidRPr="006C5B12" w:rsidRDefault="007E1250" w:rsidP="00776F4D">
            <w:pPr>
              <w:pStyle w:val="Default"/>
              <w:spacing w:after="60"/>
              <w:rPr>
                <w:rFonts w:asciiTheme="minorHAnsi" w:hAnsiTheme="minorHAnsi" w:cstheme="minorBidi"/>
                <w:i/>
                <w:color w:val="auto"/>
                <w:sz w:val="20"/>
                <w:szCs w:val="20"/>
              </w:rPr>
            </w:pPr>
            <w:r w:rsidRPr="007E1250">
              <w:rPr>
                <w:rFonts w:asciiTheme="minorHAnsi" w:hAnsiTheme="minorHAnsi" w:cstheme="minorBidi"/>
                <w:i/>
                <w:color w:val="auto"/>
                <w:sz w:val="20"/>
                <w:szCs w:val="20"/>
              </w:rPr>
              <w:t>allow easy and safe handling;</w:t>
            </w:r>
          </w:p>
        </w:tc>
      </w:tr>
      <w:tr w:rsidR="00100407" w:rsidRPr="00D02B35" w14:paraId="4F670A7B"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10D42CD6" w14:textId="1A2528C9" w:rsidR="00100407" w:rsidRPr="006C5B12" w:rsidRDefault="00100407" w:rsidP="00776F4D">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b)</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6C8C62A" w14:textId="47A53CF4" w:rsidR="00100407" w:rsidRPr="006C5B12" w:rsidRDefault="007E1250" w:rsidP="006525DE">
            <w:pPr>
              <w:rPr>
                <w:i/>
                <w:sz w:val="20"/>
                <w:szCs w:val="20"/>
                <w:lang w:val="en-GB"/>
              </w:rPr>
            </w:pPr>
            <w:r w:rsidRPr="007E1250">
              <w:rPr>
                <w:i/>
                <w:sz w:val="20"/>
                <w:szCs w:val="20"/>
                <w:lang w:val="en-GB"/>
              </w:rPr>
              <w:t>reduce as far as possible any microbial leakage from the device and/or microbial exposure during use;</w:t>
            </w:r>
            <w:r w:rsidRPr="006C5B12">
              <w:rPr>
                <w:i/>
                <w:sz w:val="20"/>
                <w:szCs w:val="20"/>
                <w:lang w:val="en-GB"/>
              </w:rPr>
              <w:t xml:space="preserve"> </w:t>
            </w:r>
            <w:r w:rsidRPr="007E1250">
              <w:rPr>
                <w:i/>
                <w:sz w:val="20"/>
                <w:szCs w:val="20"/>
                <w:lang w:val="en-GB"/>
              </w:rPr>
              <w:t>and, where necessary</w:t>
            </w:r>
            <w:r w:rsidRPr="006C5B12">
              <w:rPr>
                <w:i/>
                <w:sz w:val="20"/>
                <w:szCs w:val="20"/>
                <w:lang w:val="en-GB"/>
              </w:rPr>
              <w:t xml:space="preserve"> </w:t>
            </w:r>
          </w:p>
        </w:tc>
      </w:tr>
      <w:tr w:rsidR="00100407" w:rsidRPr="00D02B35" w14:paraId="586F1BC5"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3F09E6A0" w14:textId="26659F95" w:rsidR="00100407" w:rsidRPr="006C5B12" w:rsidRDefault="00100407" w:rsidP="00776F4D">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c)</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9E16F13" w14:textId="78F9462F" w:rsidR="00100407" w:rsidRPr="006C5B12" w:rsidRDefault="007E1250" w:rsidP="006525DE">
            <w:pPr>
              <w:rPr>
                <w:i/>
                <w:sz w:val="20"/>
                <w:szCs w:val="20"/>
                <w:lang w:val="en-GB"/>
              </w:rPr>
            </w:pPr>
            <w:r w:rsidRPr="007E1250">
              <w:rPr>
                <w:i/>
                <w:sz w:val="20"/>
                <w:szCs w:val="20"/>
                <w:lang w:val="en-GB"/>
              </w:rPr>
              <w:t>prevent microbial contamination of the device during use and, in the case of specimen receptacles, the risk of contamination of the specimen.</w:t>
            </w:r>
          </w:p>
        </w:tc>
      </w:tr>
      <w:tr w:rsidR="00100407" w:rsidRPr="00D02B35" w14:paraId="28594DD1" w14:textId="77777777" w:rsidTr="00537479">
        <w:trPr>
          <w:trHeight w:val="1192"/>
        </w:trPr>
        <w:tc>
          <w:tcPr>
            <w:tcW w:w="1413" w:type="dxa"/>
            <w:tcBorders>
              <w:top w:val="single" w:sz="4" w:space="0" w:color="auto"/>
              <w:left w:val="single" w:sz="4" w:space="0" w:color="auto"/>
              <w:bottom w:val="single" w:sz="4" w:space="0" w:color="auto"/>
              <w:right w:val="single" w:sz="4" w:space="0" w:color="auto"/>
            </w:tcBorders>
          </w:tcPr>
          <w:p w14:paraId="398935C0" w14:textId="2E92EC88" w:rsidR="00100407" w:rsidRPr="006C5B12" w:rsidRDefault="007E1250" w:rsidP="00776F4D">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124F63" w:rsidRPr="006C5B12">
              <w:rPr>
                <w:rFonts w:asciiTheme="minorHAnsi" w:hAnsiTheme="minorHAnsi" w:cstheme="minorBidi"/>
                <w:i/>
                <w:color w:val="auto"/>
                <w:sz w:val="20"/>
                <w:szCs w:val="20"/>
              </w:rPr>
              <w:t xml:space="preserve"> 11.5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FDFD0C7" w14:textId="05A64C03" w:rsidR="00100407" w:rsidRPr="006C5B12" w:rsidRDefault="007E1250" w:rsidP="006525DE">
            <w:pPr>
              <w:rPr>
                <w:i/>
                <w:sz w:val="20"/>
                <w:szCs w:val="20"/>
                <w:lang w:val="en-GB"/>
              </w:rPr>
            </w:pPr>
            <w:r w:rsidRPr="00537479">
              <w:rPr>
                <w:i/>
                <w:sz w:val="20"/>
                <w:szCs w:val="20"/>
                <w:lang w:val="en-GB"/>
              </w:rPr>
              <w:t xml:space="preserve">Packaging systems for non-sterile devices shall maintain the integrity and cleanliness of the </w:t>
            </w:r>
            <w:r w:rsidR="007C63ED">
              <w:rPr>
                <w:i/>
                <w:sz w:val="20"/>
                <w:szCs w:val="20"/>
                <w:lang w:val="en-GB"/>
              </w:rPr>
              <w:t>device</w:t>
            </w:r>
            <w:r w:rsidRPr="00537479">
              <w:rPr>
                <w:i/>
                <w:sz w:val="20"/>
                <w:szCs w:val="20"/>
                <w:lang w:val="en-GB"/>
              </w:rPr>
              <w:t xml:space="preserve"> and, where the devices are to be sterilised prior to use, minimise the risk of microbial contamination; the packaging system shall be suitable </w:t>
            </w:r>
            <w:r w:rsidR="00537479" w:rsidRPr="00537479">
              <w:rPr>
                <w:i/>
                <w:sz w:val="20"/>
                <w:szCs w:val="20"/>
                <w:lang w:val="en-GB"/>
              </w:rPr>
              <w:t>for</w:t>
            </w:r>
            <w:r w:rsidRPr="00537479">
              <w:rPr>
                <w:i/>
                <w:sz w:val="20"/>
                <w:szCs w:val="20"/>
                <w:lang w:val="en-GB"/>
              </w:rPr>
              <w:t xml:space="preserve"> the method of sterilisation indicated by the manufacturer.</w:t>
            </w:r>
            <w:r w:rsidRPr="006C5B12">
              <w:rPr>
                <w:rFonts w:ascii="Arial" w:hAnsi="Arial" w:cs="Arial"/>
                <w:i/>
                <w:color w:val="000000"/>
                <w:sz w:val="20"/>
                <w:szCs w:val="20"/>
                <w:lang w:val="en-GB"/>
              </w:rPr>
              <w:t xml:space="preserve"> </w:t>
            </w:r>
          </w:p>
        </w:tc>
      </w:tr>
    </w:tbl>
    <w:p w14:paraId="329BCE28" w14:textId="10C80BC8" w:rsidR="00AE74A0" w:rsidRPr="006C5B12" w:rsidRDefault="00AE74A0" w:rsidP="00A02FC9">
      <w:pPr>
        <w:rPr>
          <w:lang w:val="en-GB"/>
        </w:rPr>
      </w:pPr>
    </w:p>
    <w:p w14:paraId="71EBA0FE" w14:textId="66197C5A" w:rsidR="00A02FC9" w:rsidRPr="006C5B12" w:rsidRDefault="00A02FC9" w:rsidP="00F4147C">
      <w:pPr>
        <w:pStyle w:val="berschrift2"/>
        <w:rPr>
          <w:lang w:val="en-GB"/>
        </w:rPr>
      </w:pPr>
      <w:r w:rsidRPr="006C5B12">
        <w:rPr>
          <w:lang w:val="en-GB"/>
        </w:rPr>
        <w:t>Ris</w:t>
      </w:r>
      <w:r w:rsidR="001B45BF">
        <w:rPr>
          <w:lang w:val="en-GB"/>
        </w:rPr>
        <w:t>ks related to the interaction of devices with their environment</w:t>
      </w:r>
    </w:p>
    <w:p w14:paraId="7F64D402" w14:textId="2C21BD80" w:rsidR="00D35F3A" w:rsidRPr="006C5B12" w:rsidRDefault="001B45BF" w:rsidP="00F4147C">
      <w:pPr>
        <w:jc w:val="both"/>
        <w:rPr>
          <w:lang w:val="en-GB"/>
        </w:rPr>
      </w:pPr>
      <w:r w:rsidRPr="001B45BF">
        <w:rPr>
          <w:lang w:val="en-GB"/>
        </w:rPr>
        <w:t xml:space="preserve">Risks related to the interaction of </w:t>
      </w:r>
      <w:r>
        <w:rPr>
          <w:lang w:val="en-GB"/>
        </w:rPr>
        <w:t>devices</w:t>
      </w:r>
      <w:r w:rsidRPr="001B45BF">
        <w:rPr>
          <w:lang w:val="en-GB"/>
        </w:rPr>
        <w:t xml:space="preserve"> with their environment </w:t>
      </w:r>
      <w:r w:rsidR="00A651E8">
        <w:rPr>
          <w:lang w:val="en-GB"/>
        </w:rPr>
        <w:t>are to</w:t>
      </w:r>
      <w:r w:rsidRPr="001B45BF">
        <w:rPr>
          <w:lang w:val="en-GB"/>
        </w:rPr>
        <w:t xml:space="preserve"> be analysed, evaluated and controlled in accordance with Annex I, </w:t>
      </w:r>
      <w:r>
        <w:rPr>
          <w:lang w:val="en-GB"/>
        </w:rPr>
        <w:t>S</w:t>
      </w:r>
      <w:r w:rsidRPr="001B45BF">
        <w:rPr>
          <w:lang w:val="en-GB"/>
        </w:rPr>
        <w:t xml:space="preserve">ections 13.2 and 13.3. </w:t>
      </w:r>
    </w:p>
    <w:p w14:paraId="778C247C" w14:textId="6C390C90" w:rsidR="00A02FC9" w:rsidRPr="006C5B12" w:rsidRDefault="00F53056" w:rsidP="006525DE">
      <w:pPr>
        <w:pStyle w:val="Beschriftung"/>
        <w:rPr>
          <w:lang w:val="en-GB"/>
        </w:rPr>
      </w:pPr>
      <w:r w:rsidRPr="006C5B12">
        <w:rPr>
          <w:lang w:val="en-GB"/>
        </w:rPr>
        <w:t xml:space="preserve">Table </w:t>
      </w:r>
      <w:r w:rsidR="00F80F8D" w:rsidRPr="006C5B12">
        <w:rPr>
          <w:noProof/>
          <w:lang w:val="en-GB"/>
        </w:rPr>
        <w:fldChar w:fldCharType="begin"/>
      </w:r>
      <w:r w:rsidR="00F80F8D" w:rsidRPr="006C5B12">
        <w:rPr>
          <w:noProof/>
          <w:lang w:val="en-GB"/>
        </w:rPr>
        <w:instrText xml:space="preserve"> SEQ Tabelle \* ARABIC </w:instrText>
      </w:r>
      <w:r w:rsidR="00F80F8D" w:rsidRPr="006C5B12">
        <w:rPr>
          <w:noProof/>
          <w:lang w:val="en-GB"/>
        </w:rPr>
        <w:fldChar w:fldCharType="separate"/>
      </w:r>
      <w:r w:rsidR="00087CA3" w:rsidRPr="006C5B12">
        <w:rPr>
          <w:noProof/>
          <w:lang w:val="en-GB"/>
        </w:rPr>
        <w:t>9</w:t>
      </w:r>
      <w:r w:rsidR="00F80F8D" w:rsidRPr="006C5B12">
        <w:rPr>
          <w:noProof/>
          <w:lang w:val="en-GB"/>
        </w:rPr>
        <w:fldChar w:fldCharType="end"/>
      </w:r>
      <w:r w:rsidRPr="006C5B12">
        <w:rPr>
          <w:lang w:val="en-GB"/>
        </w:rPr>
        <w:t xml:space="preserve"> </w:t>
      </w:r>
      <w:r w:rsidR="001E03FF" w:rsidRPr="006C5B12">
        <w:rPr>
          <w:lang w:val="en-GB"/>
        </w:rPr>
        <w:t xml:space="preserve">IVDR - </w:t>
      </w:r>
      <w:r w:rsidRPr="006C5B12">
        <w:rPr>
          <w:lang w:val="en-GB"/>
        </w:rPr>
        <w:t>An</w:t>
      </w:r>
      <w:r w:rsidR="001B45BF">
        <w:rPr>
          <w:lang w:val="en-GB"/>
        </w:rPr>
        <w:t>nex</w:t>
      </w:r>
      <w:r w:rsidRPr="006C5B12">
        <w:rPr>
          <w:lang w:val="en-GB"/>
        </w:rPr>
        <w:t xml:space="preserve"> I,</w:t>
      </w:r>
      <w:r w:rsidR="001B45BF">
        <w:rPr>
          <w:lang w:val="en-GB"/>
        </w:rPr>
        <w:t xml:space="preserve"> Chapter</w:t>
      </w:r>
      <w:r w:rsidR="00F76910" w:rsidRPr="006C5B12">
        <w:rPr>
          <w:lang w:val="en-GB"/>
        </w:rPr>
        <w:t xml:space="preserve"> 2, </w:t>
      </w:r>
      <w:r w:rsidR="001B45BF">
        <w:rPr>
          <w:lang w:val="en-GB"/>
        </w:rPr>
        <w:t>Sections</w:t>
      </w:r>
      <w:r w:rsidRPr="006C5B12">
        <w:rPr>
          <w:lang w:val="en-GB"/>
        </w:rPr>
        <w:t xml:space="preserve"> 13.2 </w:t>
      </w:r>
      <w:r w:rsidR="001B45BF">
        <w:rPr>
          <w:lang w:val="en-GB"/>
        </w:rPr>
        <w:t>a</w:t>
      </w:r>
      <w:r w:rsidRPr="006C5B12">
        <w:rPr>
          <w:lang w:val="en-GB"/>
        </w:rPr>
        <w:t>nd 13.3</w:t>
      </w:r>
    </w:p>
    <w:tbl>
      <w:tblPr>
        <w:tblW w:w="8784" w:type="dxa"/>
        <w:tblLook w:val="04A0" w:firstRow="1" w:lastRow="0" w:firstColumn="1" w:lastColumn="0" w:noHBand="0" w:noVBand="1"/>
      </w:tblPr>
      <w:tblGrid>
        <w:gridCol w:w="1413"/>
        <w:gridCol w:w="7371"/>
      </w:tblGrid>
      <w:tr w:rsidR="005172EE" w:rsidRPr="006C5B12" w14:paraId="64166290" w14:textId="77777777" w:rsidTr="006525DE">
        <w:trPr>
          <w:trHeight w:val="318"/>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7D0A6F8" w14:textId="77777777" w:rsidR="005172EE" w:rsidRPr="006C5B12" w:rsidRDefault="005172EE" w:rsidP="00D35F3A">
            <w:pPr>
              <w:pStyle w:val="Default"/>
              <w:spacing w:after="60"/>
              <w:rPr>
                <w:rFonts w:asciiTheme="minorHAnsi" w:hAnsiTheme="minorHAnsi" w:cstheme="minorBidi"/>
                <w:b/>
                <w:bCs/>
                <w:i/>
                <w:color w:val="auto"/>
                <w:sz w:val="20"/>
                <w:szCs w:val="20"/>
              </w:rPr>
            </w:pPr>
            <w:r w:rsidRPr="006C5B12">
              <w:rPr>
                <w:rFonts w:asciiTheme="minorHAnsi" w:hAnsiTheme="minorHAnsi" w:cstheme="minorBidi"/>
                <w:b/>
                <w:bCs/>
                <w:i/>
                <w:color w:val="auto"/>
                <w:sz w:val="20"/>
                <w:szCs w:val="20"/>
              </w:rPr>
              <w:t>IVDR</w:t>
            </w:r>
          </w:p>
        </w:tc>
      </w:tr>
      <w:tr w:rsidR="005172EE" w:rsidRPr="006C5B12" w14:paraId="0AE31E15" w14:textId="77777777" w:rsidTr="006525DE">
        <w:trPr>
          <w:trHeight w:val="280"/>
        </w:trPr>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tcPr>
          <w:p w14:paraId="49D02659" w14:textId="0C50EC72" w:rsidR="005172EE" w:rsidRPr="006C5B12" w:rsidRDefault="005172EE" w:rsidP="00D35F3A">
            <w:pPr>
              <w:pStyle w:val="Default"/>
              <w:spacing w:after="60"/>
              <w:rPr>
                <w:rFonts w:asciiTheme="minorHAnsi" w:hAnsiTheme="minorHAnsi" w:cstheme="minorBidi"/>
                <w:i/>
                <w:color w:val="auto"/>
                <w:sz w:val="20"/>
                <w:szCs w:val="20"/>
              </w:rPr>
            </w:pPr>
            <w:r w:rsidRPr="006C5B12">
              <w:rPr>
                <w:rFonts w:asciiTheme="minorHAnsi" w:hAnsiTheme="minorHAnsi" w:cstheme="minorBidi"/>
                <w:i/>
                <w:color w:val="auto"/>
                <w:sz w:val="20"/>
                <w:szCs w:val="20"/>
              </w:rPr>
              <w:t>An</w:t>
            </w:r>
            <w:r w:rsidR="001B45BF">
              <w:rPr>
                <w:rFonts w:asciiTheme="minorHAnsi" w:hAnsiTheme="minorHAnsi" w:cstheme="minorBidi"/>
                <w:i/>
                <w:color w:val="auto"/>
                <w:sz w:val="20"/>
                <w:szCs w:val="20"/>
              </w:rPr>
              <w:t>nex</w:t>
            </w:r>
            <w:r w:rsidRPr="006C5B12">
              <w:rPr>
                <w:rFonts w:asciiTheme="minorHAnsi" w:hAnsiTheme="minorHAnsi" w:cstheme="minorBidi"/>
                <w:i/>
                <w:color w:val="auto"/>
                <w:sz w:val="20"/>
                <w:szCs w:val="20"/>
              </w:rPr>
              <w:t xml:space="preserve"> 1</w:t>
            </w:r>
            <w:r w:rsidR="0028772E" w:rsidRPr="006C5B12">
              <w:rPr>
                <w:rFonts w:asciiTheme="minorHAnsi" w:hAnsiTheme="minorHAnsi" w:cstheme="minorBidi"/>
                <w:i/>
                <w:color w:val="auto"/>
                <w:sz w:val="20"/>
                <w:szCs w:val="20"/>
              </w:rPr>
              <w:t xml:space="preserve"> </w:t>
            </w:r>
            <w:r w:rsidR="001B45BF">
              <w:rPr>
                <w:rFonts w:asciiTheme="minorHAnsi" w:hAnsiTheme="minorHAnsi" w:cstheme="minorBidi"/>
                <w:i/>
                <w:color w:val="auto"/>
                <w:sz w:val="20"/>
                <w:szCs w:val="20"/>
              </w:rPr>
              <w:t>Chapter</w:t>
            </w:r>
            <w:r w:rsidR="0028772E" w:rsidRPr="006C5B12">
              <w:rPr>
                <w:rFonts w:asciiTheme="minorHAnsi" w:hAnsiTheme="minorHAnsi" w:cstheme="minorBidi"/>
                <w:i/>
                <w:color w:val="auto"/>
                <w:sz w:val="20"/>
                <w:szCs w:val="20"/>
              </w:rPr>
              <w:t xml:space="preserve"> 2</w:t>
            </w:r>
          </w:p>
        </w:tc>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515BFDB9" w14:textId="77777777" w:rsidR="005172EE" w:rsidRPr="006C5B12" w:rsidRDefault="005172EE" w:rsidP="00D35F3A">
            <w:pPr>
              <w:pStyle w:val="Default"/>
              <w:spacing w:after="60"/>
              <w:rPr>
                <w:rFonts w:asciiTheme="minorHAnsi" w:hAnsiTheme="minorHAnsi" w:cstheme="minorBidi"/>
                <w:i/>
                <w:color w:val="auto"/>
                <w:sz w:val="20"/>
                <w:szCs w:val="20"/>
              </w:rPr>
            </w:pPr>
          </w:p>
        </w:tc>
      </w:tr>
      <w:tr w:rsidR="005172EE" w:rsidRPr="00D02B35" w14:paraId="16B2199E" w14:textId="77777777" w:rsidTr="006525DE">
        <w:trPr>
          <w:trHeight w:val="618"/>
        </w:trPr>
        <w:tc>
          <w:tcPr>
            <w:tcW w:w="1413" w:type="dxa"/>
            <w:tcBorders>
              <w:top w:val="single" w:sz="4" w:space="0" w:color="auto"/>
              <w:left w:val="single" w:sz="4" w:space="0" w:color="auto"/>
              <w:bottom w:val="single" w:sz="4" w:space="0" w:color="auto"/>
              <w:right w:val="single" w:sz="4" w:space="0" w:color="auto"/>
            </w:tcBorders>
          </w:tcPr>
          <w:p w14:paraId="4605B13E" w14:textId="452D2FFF" w:rsidR="005172EE" w:rsidRPr="006C5B12" w:rsidRDefault="001B45BF" w:rsidP="0063702D">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5172EE" w:rsidRPr="006C5B12">
              <w:rPr>
                <w:rFonts w:asciiTheme="minorHAnsi" w:hAnsiTheme="minorHAnsi" w:cstheme="minorBidi"/>
                <w:i/>
                <w:color w:val="auto"/>
                <w:sz w:val="20"/>
                <w:szCs w:val="20"/>
              </w:rPr>
              <w:t xml:space="preserve"> 13.2</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636D7867" w14:textId="1CBFD17B" w:rsidR="005172EE" w:rsidRPr="006C5B12" w:rsidRDefault="001B45BF" w:rsidP="00231736">
            <w:pPr>
              <w:pStyle w:val="Default"/>
              <w:spacing w:after="60"/>
              <w:rPr>
                <w:rFonts w:asciiTheme="minorHAnsi" w:hAnsiTheme="minorHAnsi" w:cstheme="minorBidi"/>
                <w:i/>
                <w:color w:val="auto"/>
                <w:sz w:val="20"/>
                <w:szCs w:val="20"/>
              </w:rPr>
            </w:pPr>
            <w:r w:rsidRPr="001B45BF">
              <w:rPr>
                <w:rFonts w:asciiTheme="minorHAnsi" w:hAnsiTheme="minorHAnsi" w:cstheme="minorBidi"/>
                <w:i/>
                <w:color w:val="auto"/>
                <w:sz w:val="20"/>
                <w:szCs w:val="20"/>
              </w:rPr>
              <w:t xml:space="preserve">Devices shall be designed and manufactured in such a way as to remove or reduce </w:t>
            </w:r>
            <w:r>
              <w:rPr>
                <w:rFonts w:asciiTheme="minorHAnsi" w:hAnsiTheme="minorHAnsi" w:cstheme="minorBidi"/>
                <w:i/>
                <w:color w:val="auto"/>
                <w:sz w:val="20"/>
                <w:szCs w:val="20"/>
              </w:rPr>
              <w:t xml:space="preserve">the following risks </w:t>
            </w:r>
            <w:r w:rsidRPr="001B45BF">
              <w:rPr>
                <w:rFonts w:asciiTheme="minorHAnsi" w:hAnsiTheme="minorHAnsi" w:cstheme="minorBidi"/>
                <w:i/>
                <w:color w:val="auto"/>
                <w:sz w:val="20"/>
                <w:szCs w:val="20"/>
              </w:rPr>
              <w:t>as far as possible:</w:t>
            </w:r>
            <w:r>
              <w:rPr>
                <w:rFonts w:asciiTheme="minorHAnsi" w:hAnsiTheme="minorHAnsi" w:cstheme="minorBidi"/>
                <w:i/>
                <w:color w:val="auto"/>
                <w:sz w:val="20"/>
                <w:szCs w:val="20"/>
              </w:rPr>
              <w:t xml:space="preserve"> </w:t>
            </w:r>
          </w:p>
        </w:tc>
      </w:tr>
      <w:tr w:rsidR="005172EE" w:rsidRPr="00D02B35" w14:paraId="732CB367" w14:textId="77777777" w:rsidTr="006525DE">
        <w:trPr>
          <w:trHeight w:val="618"/>
        </w:trPr>
        <w:tc>
          <w:tcPr>
            <w:tcW w:w="1413" w:type="dxa"/>
            <w:tcBorders>
              <w:top w:val="single" w:sz="4" w:space="0" w:color="auto"/>
              <w:left w:val="single" w:sz="4" w:space="0" w:color="auto"/>
              <w:bottom w:val="single" w:sz="4" w:space="0" w:color="auto"/>
              <w:right w:val="single" w:sz="4" w:space="0" w:color="auto"/>
            </w:tcBorders>
          </w:tcPr>
          <w:p w14:paraId="7D2AA3FF" w14:textId="7CE5BAD4" w:rsidR="005172EE" w:rsidRPr="006C5B12" w:rsidRDefault="005172EE" w:rsidP="006525DE">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a)</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7E2643F" w14:textId="44DCAE7E" w:rsidR="005172EE" w:rsidRPr="006C5B12" w:rsidRDefault="001B45BF" w:rsidP="00231736">
            <w:pPr>
              <w:pStyle w:val="Default"/>
              <w:spacing w:after="60"/>
              <w:rPr>
                <w:rFonts w:asciiTheme="minorHAnsi" w:hAnsiTheme="minorHAnsi" w:cstheme="minorBidi"/>
                <w:i/>
                <w:color w:val="auto"/>
                <w:sz w:val="20"/>
                <w:szCs w:val="20"/>
              </w:rPr>
            </w:pPr>
            <w:r w:rsidRPr="00AA5C48">
              <w:rPr>
                <w:rFonts w:asciiTheme="minorHAnsi" w:hAnsiTheme="minorHAnsi" w:cstheme="minorBidi"/>
                <w:i/>
                <w:color w:val="auto"/>
                <w:sz w:val="20"/>
                <w:szCs w:val="20"/>
              </w:rPr>
              <w:t xml:space="preserve">the risk of injury in connection with their physical features, including the volume/pressure ratio, dimensional and where appropriate ergonomic features of a device; </w:t>
            </w:r>
          </w:p>
        </w:tc>
      </w:tr>
      <w:tr w:rsidR="005172EE" w:rsidRPr="00D02B35" w14:paraId="738041C8" w14:textId="77777777" w:rsidTr="006525DE">
        <w:trPr>
          <w:trHeight w:val="618"/>
        </w:trPr>
        <w:tc>
          <w:tcPr>
            <w:tcW w:w="1413" w:type="dxa"/>
            <w:tcBorders>
              <w:top w:val="single" w:sz="4" w:space="0" w:color="auto"/>
              <w:left w:val="single" w:sz="4" w:space="0" w:color="auto"/>
              <w:bottom w:val="single" w:sz="4" w:space="0" w:color="auto"/>
              <w:right w:val="single" w:sz="4" w:space="0" w:color="auto"/>
            </w:tcBorders>
          </w:tcPr>
          <w:p w14:paraId="0BA7DCF1" w14:textId="0CB2DA46" w:rsidR="005172EE" w:rsidRPr="006C5B12" w:rsidRDefault="005172EE" w:rsidP="006525DE">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b)</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1D3C02C" w14:textId="4AB85777" w:rsidR="005172EE" w:rsidRPr="006C5B12" w:rsidRDefault="001B45BF" w:rsidP="00231736">
            <w:pPr>
              <w:pStyle w:val="Default"/>
              <w:spacing w:after="60"/>
              <w:rPr>
                <w:rFonts w:asciiTheme="minorHAnsi" w:hAnsiTheme="minorHAnsi" w:cstheme="minorBidi"/>
                <w:i/>
                <w:color w:val="auto"/>
                <w:sz w:val="20"/>
                <w:szCs w:val="20"/>
              </w:rPr>
            </w:pPr>
            <w:r w:rsidRPr="00AA5C48">
              <w:rPr>
                <w:rFonts w:asciiTheme="minorHAnsi" w:hAnsiTheme="minorHAnsi" w:cstheme="minorBidi"/>
                <w:i/>
                <w:color w:val="auto"/>
                <w:sz w:val="20"/>
                <w:szCs w:val="20"/>
              </w:rPr>
              <w:t xml:space="preserve">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 </w:t>
            </w:r>
          </w:p>
        </w:tc>
      </w:tr>
      <w:tr w:rsidR="005172EE" w:rsidRPr="00D02B35" w14:paraId="206D04B2" w14:textId="77777777" w:rsidTr="006525DE">
        <w:trPr>
          <w:trHeight w:val="618"/>
        </w:trPr>
        <w:tc>
          <w:tcPr>
            <w:tcW w:w="1413" w:type="dxa"/>
            <w:tcBorders>
              <w:top w:val="single" w:sz="4" w:space="0" w:color="auto"/>
              <w:left w:val="single" w:sz="4" w:space="0" w:color="auto"/>
              <w:bottom w:val="single" w:sz="4" w:space="0" w:color="auto"/>
              <w:right w:val="single" w:sz="4" w:space="0" w:color="auto"/>
            </w:tcBorders>
          </w:tcPr>
          <w:p w14:paraId="7205A7C7" w14:textId="0E93BF04" w:rsidR="005172EE" w:rsidRPr="006C5B12" w:rsidRDefault="005172EE" w:rsidP="006525DE">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c)</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E027C72" w14:textId="198DD560" w:rsidR="005172EE" w:rsidRPr="006C5B12" w:rsidRDefault="001B45BF" w:rsidP="00231736">
            <w:pPr>
              <w:pStyle w:val="Default"/>
              <w:spacing w:after="60"/>
              <w:rPr>
                <w:rFonts w:asciiTheme="minorHAnsi" w:hAnsiTheme="minorHAnsi" w:cstheme="minorBidi"/>
                <w:i/>
                <w:color w:val="auto"/>
                <w:sz w:val="20"/>
                <w:szCs w:val="20"/>
              </w:rPr>
            </w:pPr>
            <w:r w:rsidRPr="00AA5C48">
              <w:rPr>
                <w:rFonts w:asciiTheme="minorHAnsi" w:hAnsiTheme="minorHAnsi" w:cstheme="minorBidi"/>
                <w:i/>
                <w:color w:val="auto"/>
                <w:sz w:val="20"/>
                <w:szCs w:val="20"/>
              </w:rPr>
              <w:t xml:space="preserve">risks associated with the use of the device when it comes into contact with materials, liquids, and substances, including gases, to which it is exposed during normal conditions of use; </w:t>
            </w:r>
          </w:p>
        </w:tc>
      </w:tr>
      <w:tr w:rsidR="005172EE" w:rsidRPr="00D02B35" w14:paraId="7FA949F0" w14:textId="77777777" w:rsidTr="00231736">
        <w:trPr>
          <w:trHeight w:val="536"/>
        </w:trPr>
        <w:tc>
          <w:tcPr>
            <w:tcW w:w="1413" w:type="dxa"/>
            <w:tcBorders>
              <w:top w:val="single" w:sz="4" w:space="0" w:color="auto"/>
              <w:left w:val="single" w:sz="4" w:space="0" w:color="auto"/>
              <w:bottom w:val="single" w:sz="4" w:space="0" w:color="auto"/>
              <w:right w:val="single" w:sz="4" w:space="0" w:color="auto"/>
            </w:tcBorders>
          </w:tcPr>
          <w:p w14:paraId="5BD9BD4F" w14:textId="0760CE01" w:rsidR="005172EE" w:rsidRPr="006C5B12" w:rsidRDefault="005172EE" w:rsidP="006525DE">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d)</w:t>
            </w:r>
          </w:p>
        </w:tc>
        <w:tc>
          <w:tcPr>
            <w:tcW w:w="7371" w:type="dxa"/>
            <w:tcBorders>
              <w:top w:val="single" w:sz="4" w:space="0" w:color="auto"/>
              <w:left w:val="single" w:sz="4" w:space="0" w:color="auto"/>
              <w:bottom w:val="single" w:sz="4" w:space="0" w:color="auto"/>
              <w:right w:val="single" w:sz="4" w:space="0" w:color="auto"/>
            </w:tcBorders>
            <w:shd w:val="clear" w:color="auto" w:fill="auto"/>
          </w:tcPr>
          <w:tbl>
            <w:tblPr>
              <w:tblW w:w="5000" w:type="pct"/>
              <w:shd w:val="clear" w:color="auto" w:fill="FFFFFF"/>
              <w:tblCellMar>
                <w:left w:w="0" w:type="dxa"/>
                <w:right w:w="0" w:type="dxa"/>
              </w:tblCellMar>
              <w:tblLook w:val="04A0" w:firstRow="1" w:lastRow="0" w:firstColumn="1" w:lastColumn="0" w:noHBand="0" w:noVBand="1"/>
            </w:tblPr>
            <w:tblGrid>
              <w:gridCol w:w="7155"/>
            </w:tblGrid>
            <w:tr w:rsidR="001B45BF" w:rsidRPr="00D02B35" w14:paraId="138AF2AC" w14:textId="77777777" w:rsidTr="001B45BF">
              <w:tc>
                <w:tcPr>
                  <w:tcW w:w="0" w:type="auto"/>
                  <w:shd w:val="clear" w:color="auto" w:fill="FFFFFF"/>
                  <w:hideMark/>
                </w:tcPr>
                <w:p w14:paraId="57A29715" w14:textId="77777777" w:rsidR="001B45BF" w:rsidRPr="001B45BF" w:rsidRDefault="001B45BF" w:rsidP="00231736">
                  <w:pPr>
                    <w:spacing w:after="0" w:line="240" w:lineRule="auto"/>
                    <w:rPr>
                      <w:i/>
                      <w:sz w:val="20"/>
                      <w:szCs w:val="20"/>
                      <w:lang w:val="en-GB"/>
                    </w:rPr>
                  </w:pPr>
                  <w:r w:rsidRPr="001B45BF">
                    <w:rPr>
                      <w:i/>
                      <w:sz w:val="20"/>
                      <w:szCs w:val="20"/>
                      <w:lang w:val="en-GB"/>
                    </w:rPr>
                    <w:t>risks associated with the possible negative interaction between software and the IT environment within which it operates and interacts;</w:t>
                  </w:r>
                </w:p>
              </w:tc>
            </w:tr>
          </w:tbl>
          <w:p w14:paraId="4B405FD5" w14:textId="7AF90082" w:rsidR="005172EE" w:rsidRPr="006C5B12" w:rsidRDefault="005172EE" w:rsidP="00231736">
            <w:pPr>
              <w:pStyle w:val="Default"/>
              <w:spacing w:after="60"/>
              <w:rPr>
                <w:rFonts w:asciiTheme="minorHAnsi" w:hAnsiTheme="minorHAnsi" w:cstheme="minorBidi"/>
                <w:i/>
                <w:color w:val="auto"/>
                <w:sz w:val="20"/>
                <w:szCs w:val="20"/>
              </w:rPr>
            </w:pPr>
          </w:p>
        </w:tc>
      </w:tr>
      <w:tr w:rsidR="005172EE" w:rsidRPr="00D02B35" w14:paraId="30A943E7" w14:textId="77777777" w:rsidTr="006525DE">
        <w:trPr>
          <w:trHeight w:val="618"/>
        </w:trPr>
        <w:tc>
          <w:tcPr>
            <w:tcW w:w="1413" w:type="dxa"/>
            <w:tcBorders>
              <w:top w:val="single" w:sz="4" w:space="0" w:color="auto"/>
              <w:left w:val="single" w:sz="4" w:space="0" w:color="auto"/>
              <w:bottom w:val="single" w:sz="4" w:space="0" w:color="auto"/>
              <w:right w:val="single" w:sz="4" w:space="0" w:color="auto"/>
            </w:tcBorders>
          </w:tcPr>
          <w:p w14:paraId="06ED793B" w14:textId="4D19F1C9" w:rsidR="005172EE" w:rsidRPr="006C5B12" w:rsidRDefault="005172EE" w:rsidP="006525DE">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e)</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F508FCB" w14:textId="11A876C8" w:rsidR="005172EE" w:rsidRPr="006C5B12" w:rsidRDefault="00AA5C48" w:rsidP="00231736">
            <w:pPr>
              <w:pStyle w:val="Default"/>
              <w:rPr>
                <w:rFonts w:asciiTheme="minorHAnsi" w:hAnsiTheme="minorHAnsi" w:cstheme="minorBidi"/>
                <w:i/>
                <w:color w:val="auto"/>
                <w:sz w:val="20"/>
                <w:szCs w:val="20"/>
              </w:rPr>
            </w:pPr>
            <w:r w:rsidRPr="00AA5C48">
              <w:rPr>
                <w:rFonts w:asciiTheme="minorHAnsi" w:hAnsiTheme="minorHAnsi" w:cstheme="minorBidi"/>
                <w:i/>
                <w:color w:val="auto"/>
                <w:sz w:val="20"/>
                <w:szCs w:val="20"/>
              </w:rPr>
              <w:t xml:space="preserve">risks of accidental ingress of substances into the device; </w:t>
            </w:r>
          </w:p>
        </w:tc>
      </w:tr>
      <w:tr w:rsidR="005172EE" w:rsidRPr="00D02B35" w14:paraId="6FD8F6BE" w14:textId="77777777" w:rsidTr="006525DE">
        <w:trPr>
          <w:trHeight w:val="618"/>
        </w:trPr>
        <w:tc>
          <w:tcPr>
            <w:tcW w:w="1413" w:type="dxa"/>
            <w:tcBorders>
              <w:top w:val="single" w:sz="4" w:space="0" w:color="auto"/>
              <w:left w:val="single" w:sz="4" w:space="0" w:color="auto"/>
              <w:bottom w:val="single" w:sz="4" w:space="0" w:color="auto"/>
              <w:right w:val="single" w:sz="4" w:space="0" w:color="auto"/>
            </w:tcBorders>
          </w:tcPr>
          <w:p w14:paraId="1B55D526" w14:textId="59134409" w:rsidR="005172EE" w:rsidRPr="006C5B12" w:rsidRDefault="005172EE" w:rsidP="006525DE">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t>f)</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6DEE3E1" w14:textId="191B4B63" w:rsidR="005172EE" w:rsidRPr="006C5B12" w:rsidRDefault="00AA5C48" w:rsidP="00231736">
            <w:pPr>
              <w:pStyle w:val="Default"/>
              <w:spacing w:after="60"/>
              <w:rPr>
                <w:rFonts w:asciiTheme="minorHAnsi" w:hAnsiTheme="minorHAnsi" w:cstheme="minorBidi"/>
                <w:i/>
                <w:color w:val="auto"/>
                <w:sz w:val="20"/>
                <w:szCs w:val="20"/>
              </w:rPr>
            </w:pPr>
            <w:r w:rsidRPr="00AA5C48">
              <w:rPr>
                <w:rFonts w:asciiTheme="minorHAnsi" w:hAnsiTheme="minorHAnsi" w:cstheme="minorBidi"/>
                <w:i/>
                <w:color w:val="auto"/>
                <w:sz w:val="20"/>
                <w:szCs w:val="20"/>
              </w:rPr>
              <w:t xml:space="preserve">the risk of incorrect identification of specimens and the risk of erroneous results due to, for example, confusing colour and/or numeric and/or character </w:t>
            </w:r>
            <w:proofErr w:type="spellStart"/>
            <w:r w:rsidRPr="00AA5C48">
              <w:rPr>
                <w:rFonts w:asciiTheme="minorHAnsi" w:hAnsiTheme="minorHAnsi" w:cstheme="minorBidi"/>
                <w:i/>
                <w:color w:val="auto"/>
                <w:sz w:val="20"/>
                <w:szCs w:val="20"/>
              </w:rPr>
              <w:t>codings</w:t>
            </w:r>
            <w:proofErr w:type="spellEnd"/>
            <w:r w:rsidRPr="00AA5C48">
              <w:rPr>
                <w:rFonts w:asciiTheme="minorHAnsi" w:hAnsiTheme="minorHAnsi" w:cstheme="minorBidi"/>
                <w:i/>
                <w:color w:val="auto"/>
                <w:sz w:val="20"/>
                <w:szCs w:val="20"/>
              </w:rPr>
              <w:t xml:space="preserve"> on specimen receptacles, removable parts and/or accessories used with devices in order to perform the test as intended;</w:t>
            </w:r>
          </w:p>
        </w:tc>
      </w:tr>
      <w:tr w:rsidR="005172EE" w:rsidRPr="00D02B35" w14:paraId="5361CC2D" w14:textId="77777777" w:rsidTr="00F43A65">
        <w:trPr>
          <w:trHeight w:val="363"/>
        </w:trPr>
        <w:tc>
          <w:tcPr>
            <w:tcW w:w="1413" w:type="dxa"/>
            <w:tcBorders>
              <w:top w:val="single" w:sz="4" w:space="0" w:color="auto"/>
              <w:left w:val="single" w:sz="4" w:space="0" w:color="auto"/>
              <w:bottom w:val="single" w:sz="4" w:space="0" w:color="auto"/>
              <w:right w:val="single" w:sz="4" w:space="0" w:color="auto"/>
            </w:tcBorders>
          </w:tcPr>
          <w:p w14:paraId="05277650" w14:textId="6F28B9F7" w:rsidR="005172EE" w:rsidRPr="006C5B12" w:rsidRDefault="005172EE" w:rsidP="006525DE">
            <w:pPr>
              <w:pStyle w:val="Default"/>
              <w:spacing w:after="60"/>
              <w:jc w:val="right"/>
              <w:rPr>
                <w:rFonts w:asciiTheme="minorHAnsi" w:hAnsiTheme="minorHAnsi" w:cstheme="minorBidi"/>
                <w:i/>
                <w:color w:val="auto"/>
                <w:sz w:val="20"/>
                <w:szCs w:val="20"/>
              </w:rPr>
            </w:pPr>
            <w:r w:rsidRPr="006C5B12">
              <w:rPr>
                <w:rFonts w:asciiTheme="minorHAnsi" w:hAnsiTheme="minorHAnsi" w:cstheme="minorBidi"/>
                <w:i/>
                <w:color w:val="auto"/>
                <w:sz w:val="20"/>
                <w:szCs w:val="20"/>
              </w:rPr>
              <w:lastRenderedPageBreak/>
              <w:t>g)</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55F28193" w14:textId="14A7A7B9" w:rsidR="005172EE" w:rsidRPr="006C5B12" w:rsidRDefault="00231736" w:rsidP="00D35F3A">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r</w:t>
            </w:r>
            <w:r w:rsidR="00AA5C48" w:rsidRPr="00AA5C48">
              <w:rPr>
                <w:rFonts w:asciiTheme="minorHAnsi" w:hAnsiTheme="minorHAnsi" w:cstheme="minorBidi"/>
                <w:i/>
                <w:color w:val="auto"/>
                <w:sz w:val="20"/>
                <w:szCs w:val="20"/>
              </w:rPr>
              <w:t>isks of any foreseeable interference with other devices.</w:t>
            </w:r>
          </w:p>
        </w:tc>
      </w:tr>
      <w:tr w:rsidR="00F53056" w:rsidRPr="00D02B35" w14:paraId="012E7C07" w14:textId="77777777" w:rsidTr="006525DE">
        <w:trPr>
          <w:trHeight w:val="618"/>
        </w:trPr>
        <w:tc>
          <w:tcPr>
            <w:tcW w:w="1413" w:type="dxa"/>
            <w:tcBorders>
              <w:top w:val="single" w:sz="4" w:space="0" w:color="auto"/>
              <w:left w:val="single" w:sz="4" w:space="0" w:color="auto"/>
              <w:bottom w:val="single" w:sz="4" w:space="0" w:color="auto"/>
              <w:right w:val="single" w:sz="4" w:space="0" w:color="auto"/>
            </w:tcBorders>
          </w:tcPr>
          <w:p w14:paraId="41E28E0A" w14:textId="1AEF525C" w:rsidR="00F53056" w:rsidRPr="006C5B12" w:rsidRDefault="00AA5C48" w:rsidP="0063702D">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F53056" w:rsidRPr="006C5B12">
              <w:rPr>
                <w:rFonts w:asciiTheme="minorHAnsi" w:hAnsiTheme="minorHAnsi" w:cstheme="minorBidi"/>
                <w:i/>
                <w:color w:val="auto"/>
                <w:sz w:val="20"/>
                <w:szCs w:val="20"/>
              </w:rPr>
              <w:t xml:space="preserve"> 13.</w:t>
            </w:r>
            <w:r>
              <w:rPr>
                <w:rFonts w:asciiTheme="minorHAnsi" w:hAnsiTheme="minorHAnsi" w:cstheme="minorBidi"/>
                <w:i/>
                <w:color w:val="auto"/>
                <w:sz w:val="20"/>
                <w:szCs w:val="20"/>
              </w:rPr>
              <w:t>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B6FF59E" w14:textId="72BA599E" w:rsidR="00F53056" w:rsidRPr="006C5B12" w:rsidRDefault="00AA5C48" w:rsidP="00D35F3A">
            <w:pPr>
              <w:pStyle w:val="Default"/>
              <w:spacing w:after="60"/>
              <w:rPr>
                <w:rFonts w:asciiTheme="minorHAnsi" w:hAnsiTheme="minorHAnsi" w:cstheme="minorBidi"/>
                <w:i/>
                <w:color w:val="auto"/>
                <w:sz w:val="20"/>
                <w:szCs w:val="20"/>
              </w:rPr>
            </w:pPr>
            <w:r w:rsidRPr="00F43A65">
              <w:rPr>
                <w:rFonts w:asciiTheme="minorHAnsi" w:hAnsiTheme="minorHAnsi" w:cstheme="minorBidi"/>
                <w:i/>
                <w:color w:val="auto"/>
                <w:sz w:val="20"/>
                <w:szCs w:val="20"/>
              </w:rPr>
              <w:t xml:space="preserve">Devices shall be designed and manufactured in such a way as to minimise the risk of fire or explosion during normal use and in </w:t>
            </w:r>
            <w:r w:rsidR="00F43A65" w:rsidRPr="00F43A65">
              <w:rPr>
                <w:rFonts w:asciiTheme="minorHAnsi" w:hAnsiTheme="minorHAnsi" w:cstheme="minorBidi"/>
                <w:i/>
                <w:color w:val="auto"/>
                <w:sz w:val="20"/>
                <w:szCs w:val="20"/>
              </w:rPr>
              <w:t xml:space="preserve">a </w:t>
            </w:r>
            <w:r w:rsidRPr="00F43A65">
              <w:rPr>
                <w:rFonts w:asciiTheme="minorHAnsi" w:hAnsiTheme="minorHAnsi" w:cstheme="minorBidi"/>
                <w:i/>
                <w:color w:val="auto"/>
                <w:sz w:val="20"/>
                <w:szCs w:val="20"/>
              </w:rPr>
              <w:t xml:space="preserve">single fault condition. Particular attention shall be paid to devices </w:t>
            </w:r>
            <w:r w:rsidR="00F43A65" w:rsidRPr="00F43A65">
              <w:rPr>
                <w:rFonts w:asciiTheme="minorHAnsi" w:hAnsiTheme="minorHAnsi" w:cstheme="minorBidi"/>
                <w:i/>
                <w:color w:val="auto"/>
                <w:sz w:val="20"/>
                <w:szCs w:val="20"/>
              </w:rPr>
              <w:t>whose</w:t>
            </w:r>
            <w:r w:rsidRPr="00F43A65">
              <w:rPr>
                <w:rFonts w:asciiTheme="minorHAnsi" w:hAnsiTheme="minorHAnsi" w:cstheme="minorBidi"/>
                <w:i/>
                <w:color w:val="auto"/>
                <w:sz w:val="20"/>
                <w:szCs w:val="20"/>
              </w:rPr>
              <w:t xml:space="preserve"> intended use includes exposure to or use in association with flammable or explosive substances or substances which could cause combustion.</w:t>
            </w:r>
            <w:r w:rsidR="00F43A65">
              <w:rPr>
                <w:shd w:val="clear" w:color="auto" w:fill="FFFFFF"/>
              </w:rPr>
              <w:t xml:space="preserve"> </w:t>
            </w:r>
          </w:p>
        </w:tc>
      </w:tr>
    </w:tbl>
    <w:p w14:paraId="39538D70" w14:textId="77777777" w:rsidR="005172EE" w:rsidRPr="006C5B12" w:rsidRDefault="005172EE" w:rsidP="00A02FC9">
      <w:pPr>
        <w:rPr>
          <w:lang w:val="en-GB"/>
        </w:rPr>
      </w:pPr>
    </w:p>
    <w:p w14:paraId="6940D53E" w14:textId="7D05AAF7" w:rsidR="00F76910" w:rsidRPr="006C5B12" w:rsidRDefault="00F76910" w:rsidP="00F4147C">
      <w:pPr>
        <w:pStyle w:val="berschrift2"/>
        <w:rPr>
          <w:lang w:val="en-GB"/>
        </w:rPr>
      </w:pPr>
      <w:r w:rsidRPr="006C5B12">
        <w:rPr>
          <w:lang w:val="en-GB"/>
        </w:rPr>
        <w:t>Ris</w:t>
      </w:r>
      <w:r w:rsidR="00B61D66">
        <w:rPr>
          <w:lang w:val="en-GB"/>
        </w:rPr>
        <w:t>ks related to radiation</w:t>
      </w:r>
    </w:p>
    <w:p w14:paraId="2D1833BC" w14:textId="05075129" w:rsidR="00F76910" w:rsidRPr="006C5B12" w:rsidRDefault="00F76910" w:rsidP="00F76910">
      <w:pPr>
        <w:pStyle w:val="Beschriftung"/>
        <w:rPr>
          <w:lang w:val="en-GB"/>
        </w:rPr>
      </w:pPr>
      <w:r w:rsidRPr="006C5B12">
        <w:rPr>
          <w:lang w:val="en-GB"/>
        </w:rPr>
        <w:t xml:space="preserve">Table </w:t>
      </w:r>
      <w:r w:rsidR="00F80F8D" w:rsidRPr="006C5B12">
        <w:rPr>
          <w:noProof/>
          <w:lang w:val="en-GB"/>
        </w:rPr>
        <w:fldChar w:fldCharType="begin"/>
      </w:r>
      <w:r w:rsidR="00F80F8D" w:rsidRPr="006C5B12">
        <w:rPr>
          <w:noProof/>
          <w:lang w:val="en-GB"/>
        </w:rPr>
        <w:instrText xml:space="preserve"> SEQ Tabelle \* ARABIC </w:instrText>
      </w:r>
      <w:r w:rsidR="00F80F8D" w:rsidRPr="006C5B12">
        <w:rPr>
          <w:noProof/>
          <w:lang w:val="en-GB"/>
        </w:rPr>
        <w:fldChar w:fldCharType="separate"/>
      </w:r>
      <w:r w:rsidR="00087CA3" w:rsidRPr="006C5B12">
        <w:rPr>
          <w:noProof/>
          <w:lang w:val="en-GB"/>
        </w:rPr>
        <w:t>10</w:t>
      </w:r>
      <w:r w:rsidR="00F80F8D" w:rsidRPr="006C5B12">
        <w:rPr>
          <w:noProof/>
          <w:lang w:val="en-GB"/>
        </w:rPr>
        <w:fldChar w:fldCharType="end"/>
      </w:r>
      <w:r w:rsidRPr="006C5B12">
        <w:rPr>
          <w:lang w:val="en-GB"/>
        </w:rPr>
        <w:t xml:space="preserve"> </w:t>
      </w:r>
      <w:r w:rsidR="001E03FF" w:rsidRPr="006C5B12">
        <w:rPr>
          <w:lang w:val="en-GB"/>
        </w:rPr>
        <w:t xml:space="preserve">IVDR - </w:t>
      </w:r>
      <w:r w:rsidRPr="006C5B12">
        <w:rPr>
          <w:lang w:val="en-GB"/>
        </w:rPr>
        <w:t>An</w:t>
      </w:r>
      <w:r w:rsidR="00B61D66">
        <w:rPr>
          <w:lang w:val="en-GB"/>
        </w:rPr>
        <w:t>nex</w:t>
      </w:r>
      <w:r w:rsidRPr="006C5B12">
        <w:rPr>
          <w:lang w:val="en-GB"/>
        </w:rPr>
        <w:t xml:space="preserve"> I, </w:t>
      </w:r>
      <w:r w:rsidR="00B61D66">
        <w:rPr>
          <w:lang w:val="en-GB"/>
        </w:rPr>
        <w:t>Chapter</w:t>
      </w:r>
      <w:r w:rsidRPr="006C5B12">
        <w:rPr>
          <w:lang w:val="en-GB"/>
        </w:rPr>
        <w:t xml:space="preserve"> 2, </w:t>
      </w:r>
      <w:r w:rsidR="00B61D66">
        <w:rPr>
          <w:lang w:val="en-GB"/>
        </w:rPr>
        <w:t>Section</w:t>
      </w:r>
      <w:r w:rsidRPr="006C5B12">
        <w:rPr>
          <w:lang w:val="en-GB"/>
        </w:rPr>
        <w:t xml:space="preserve"> 1</w:t>
      </w:r>
      <w:r w:rsidR="001B642C" w:rsidRPr="006C5B12">
        <w:rPr>
          <w:lang w:val="en-GB"/>
        </w:rPr>
        <w:t>5</w:t>
      </w:r>
      <w:r w:rsidRPr="006C5B12">
        <w:rPr>
          <w:lang w:val="en-GB"/>
        </w:rPr>
        <w:t>.3</w:t>
      </w:r>
    </w:p>
    <w:tbl>
      <w:tblPr>
        <w:tblW w:w="8784" w:type="dxa"/>
        <w:tblLook w:val="04A0" w:firstRow="1" w:lastRow="0" w:firstColumn="1" w:lastColumn="0" w:noHBand="0" w:noVBand="1"/>
      </w:tblPr>
      <w:tblGrid>
        <w:gridCol w:w="1413"/>
        <w:gridCol w:w="7371"/>
      </w:tblGrid>
      <w:tr w:rsidR="00F76910" w:rsidRPr="006C5B12" w14:paraId="61E350A1" w14:textId="77777777" w:rsidTr="00776F4D">
        <w:trPr>
          <w:trHeight w:val="318"/>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48588F1" w14:textId="77777777" w:rsidR="00F76910" w:rsidRPr="006C5B12" w:rsidRDefault="00F76910" w:rsidP="00776F4D">
            <w:pPr>
              <w:pStyle w:val="Default"/>
              <w:spacing w:after="60"/>
              <w:rPr>
                <w:rFonts w:asciiTheme="minorHAnsi" w:hAnsiTheme="minorHAnsi" w:cstheme="minorBidi"/>
                <w:b/>
                <w:bCs/>
                <w:i/>
                <w:color w:val="auto"/>
                <w:sz w:val="20"/>
                <w:szCs w:val="20"/>
              </w:rPr>
            </w:pPr>
            <w:r w:rsidRPr="006C5B12">
              <w:rPr>
                <w:rFonts w:asciiTheme="minorHAnsi" w:hAnsiTheme="minorHAnsi" w:cstheme="minorBidi"/>
                <w:b/>
                <w:bCs/>
                <w:i/>
                <w:color w:val="auto"/>
                <w:sz w:val="20"/>
                <w:szCs w:val="20"/>
              </w:rPr>
              <w:t>IVDR</w:t>
            </w:r>
          </w:p>
        </w:tc>
      </w:tr>
      <w:tr w:rsidR="00F76910" w:rsidRPr="006C5B12" w14:paraId="27D6809C" w14:textId="77777777" w:rsidTr="00776F4D">
        <w:trPr>
          <w:trHeight w:val="280"/>
        </w:trPr>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tcPr>
          <w:p w14:paraId="68990A7A" w14:textId="744F13FF" w:rsidR="00F76910" w:rsidRPr="006C5B12" w:rsidRDefault="00B61D66" w:rsidP="00776F4D">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Annex</w:t>
            </w:r>
            <w:r w:rsidR="00F76910" w:rsidRPr="006C5B12">
              <w:rPr>
                <w:rFonts w:asciiTheme="minorHAnsi" w:hAnsiTheme="minorHAnsi" w:cstheme="minorBidi"/>
                <w:i/>
                <w:color w:val="auto"/>
                <w:sz w:val="20"/>
                <w:szCs w:val="20"/>
              </w:rPr>
              <w:t xml:space="preserve"> 1 </w:t>
            </w:r>
            <w:r>
              <w:rPr>
                <w:rFonts w:asciiTheme="minorHAnsi" w:hAnsiTheme="minorHAnsi" w:cstheme="minorBidi"/>
                <w:i/>
                <w:color w:val="auto"/>
                <w:sz w:val="20"/>
                <w:szCs w:val="20"/>
              </w:rPr>
              <w:t>Chapter</w:t>
            </w:r>
            <w:r w:rsidR="00F76910" w:rsidRPr="006C5B12">
              <w:rPr>
                <w:rFonts w:asciiTheme="minorHAnsi" w:hAnsiTheme="minorHAnsi" w:cstheme="minorBidi"/>
                <w:i/>
                <w:color w:val="auto"/>
                <w:sz w:val="20"/>
                <w:szCs w:val="20"/>
              </w:rPr>
              <w:t xml:space="preserve"> 2</w:t>
            </w:r>
          </w:p>
        </w:tc>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5233C9EE" w14:textId="77777777" w:rsidR="00F76910" w:rsidRPr="006C5B12" w:rsidRDefault="00F76910" w:rsidP="00776F4D">
            <w:pPr>
              <w:pStyle w:val="Default"/>
              <w:spacing w:after="60"/>
              <w:rPr>
                <w:rFonts w:asciiTheme="minorHAnsi" w:hAnsiTheme="minorHAnsi" w:cstheme="minorBidi"/>
                <w:i/>
                <w:color w:val="auto"/>
                <w:sz w:val="20"/>
                <w:szCs w:val="20"/>
              </w:rPr>
            </w:pPr>
          </w:p>
        </w:tc>
      </w:tr>
      <w:tr w:rsidR="00F76910" w:rsidRPr="00D02B35" w14:paraId="0084BAAA"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6B10AFA5" w14:textId="325FE38F" w:rsidR="00F76910" w:rsidRPr="006C5B12" w:rsidRDefault="00B61D66" w:rsidP="006525DE">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F76910" w:rsidRPr="006C5B12">
              <w:rPr>
                <w:rFonts w:asciiTheme="minorHAnsi" w:hAnsiTheme="minorHAnsi" w:cstheme="minorBidi"/>
                <w:i/>
                <w:color w:val="auto"/>
                <w:sz w:val="20"/>
                <w:szCs w:val="20"/>
              </w:rPr>
              <w:t xml:space="preserve"> </w:t>
            </w:r>
            <w:r w:rsidR="001B642C" w:rsidRPr="006C5B12">
              <w:rPr>
                <w:rFonts w:asciiTheme="minorHAnsi" w:hAnsiTheme="minorHAnsi" w:cstheme="minorBidi"/>
                <w:i/>
                <w:color w:val="auto"/>
                <w:sz w:val="20"/>
                <w:szCs w:val="20"/>
              </w:rPr>
              <w:t>15.3</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7A2F3803" w14:textId="48B528BC" w:rsidR="00F76910" w:rsidRPr="006C5B12" w:rsidRDefault="00B61D66" w:rsidP="00776F4D">
            <w:pPr>
              <w:pStyle w:val="Default"/>
              <w:spacing w:after="60"/>
              <w:rPr>
                <w:rFonts w:asciiTheme="minorHAnsi" w:hAnsiTheme="minorHAnsi" w:cstheme="minorBidi"/>
                <w:i/>
                <w:color w:val="auto"/>
                <w:sz w:val="20"/>
                <w:szCs w:val="20"/>
              </w:rPr>
            </w:pPr>
            <w:r w:rsidRPr="00B61D66">
              <w:rPr>
                <w:rFonts w:asciiTheme="minorHAnsi" w:hAnsiTheme="minorHAnsi" w:cstheme="minorBidi"/>
                <w:i/>
                <w:color w:val="auto"/>
                <w:sz w:val="20"/>
                <w:szCs w:val="20"/>
              </w:rPr>
              <w:t>The operating instructions for devices emitting hazardous or potentially hazardous radiation shall contain detailed information as to the nature of the emitted radiation, the means of protecting the user, and on ways of avoiding misuse and of reducing the risks inherent to installation as far as possible and appropriate. Information regarding the acceptance and performance testing, the acceptance criteria, and the maintenance procedure shall also be specified.</w:t>
            </w:r>
            <w:r w:rsidRPr="006C5B12">
              <w:rPr>
                <w:rFonts w:asciiTheme="minorHAnsi" w:hAnsiTheme="minorHAnsi" w:cstheme="minorBidi"/>
                <w:i/>
                <w:color w:val="auto"/>
                <w:sz w:val="20"/>
                <w:szCs w:val="20"/>
              </w:rPr>
              <w:t xml:space="preserve"> </w:t>
            </w:r>
          </w:p>
        </w:tc>
      </w:tr>
    </w:tbl>
    <w:p w14:paraId="31B80C2B" w14:textId="64EC0478" w:rsidR="00A02FC9" w:rsidRPr="006C5B12" w:rsidRDefault="00A02FC9" w:rsidP="00A02FC9">
      <w:pPr>
        <w:rPr>
          <w:lang w:val="en-GB"/>
        </w:rPr>
      </w:pPr>
    </w:p>
    <w:p w14:paraId="7CB795B3" w14:textId="2D63287D" w:rsidR="00A02FC9" w:rsidRPr="006C5B12" w:rsidRDefault="00A02FC9">
      <w:pPr>
        <w:pStyle w:val="berschrift2"/>
        <w:rPr>
          <w:lang w:val="en-GB"/>
        </w:rPr>
      </w:pPr>
      <w:proofErr w:type="spellStart"/>
      <w:r w:rsidRPr="00231736">
        <w:t>Ris</w:t>
      </w:r>
      <w:r w:rsidR="00B61D66" w:rsidRPr="00231736">
        <w:t>ks</w:t>
      </w:r>
      <w:proofErr w:type="spellEnd"/>
      <w:r w:rsidR="00B61D66" w:rsidRPr="00231736">
        <w:t xml:space="preserve"> </w:t>
      </w:r>
      <w:proofErr w:type="spellStart"/>
      <w:r w:rsidR="00B61D66" w:rsidRPr="00231736">
        <w:t>related</w:t>
      </w:r>
      <w:proofErr w:type="spellEnd"/>
      <w:r w:rsidR="00B61D66" w:rsidRPr="00231736">
        <w:t xml:space="preserve"> </w:t>
      </w:r>
      <w:proofErr w:type="spellStart"/>
      <w:r w:rsidR="00B61D66" w:rsidRPr="00231736">
        <w:t>to</w:t>
      </w:r>
      <w:proofErr w:type="spellEnd"/>
      <w:r w:rsidR="00B61D66" w:rsidRPr="00231736">
        <w:t xml:space="preserve"> </w:t>
      </w:r>
      <w:proofErr w:type="spellStart"/>
      <w:r w:rsidR="00B61D66" w:rsidRPr="00231736">
        <w:t>software</w:t>
      </w:r>
      <w:proofErr w:type="spellEnd"/>
      <w:r w:rsidRPr="00231736">
        <w:t xml:space="preserve"> </w:t>
      </w:r>
    </w:p>
    <w:p w14:paraId="0DA653EF" w14:textId="7684A8B8" w:rsidR="004C602B" w:rsidRPr="006C5B12" w:rsidRDefault="004C602B" w:rsidP="004C602B">
      <w:pPr>
        <w:pStyle w:val="Beschriftung"/>
        <w:rPr>
          <w:lang w:val="en-GB"/>
        </w:rPr>
      </w:pPr>
      <w:r w:rsidRPr="006C5B12">
        <w:rPr>
          <w:lang w:val="en-GB"/>
        </w:rPr>
        <w:t xml:space="preserve">Table </w:t>
      </w:r>
      <w:r w:rsidR="00F80F8D" w:rsidRPr="006C5B12">
        <w:rPr>
          <w:noProof/>
          <w:lang w:val="en-GB"/>
        </w:rPr>
        <w:fldChar w:fldCharType="begin"/>
      </w:r>
      <w:r w:rsidR="00F80F8D" w:rsidRPr="006C5B12">
        <w:rPr>
          <w:noProof/>
          <w:lang w:val="en-GB"/>
        </w:rPr>
        <w:instrText xml:space="preserve"> SEQ Tabelle \* ARABIC </w:instrText>
      </w:r>
      <w:r w:rsidR="00F80F8D" w:rsidRPr="006C5B12">
        <w:rPr>
          <w:noProof/>
          <w:lang w:val="en-GB"/>
        </w:rPr>
        <w:fldChar w:fldCharType="separate"/>
      </w:r>
      <w:r w:rsidR="00087CA3" w:rsidRPr="006C5B12">
        <w:rPr>
          <w:noProof/>
          <w:lang w:val="en-GB"/>
        </w:rPr>
        <w:t>11</w:t>
      </w:r>
      <w:r w:rsidR="00F80F8D" w:rsidRPr="006C5B12">
        <w:rPr>
          <w:noProof/>
          <w:lang w:val="en-GB"/>
        </w:rPr>
        <w:fldChar w:fldCharType="end"/>
      </w:r>
      <w:r w:rsidRPr="006C5B12">
        <w:rPr>
          <w:lang w:val="en-GB"/>
        </w:rPr>
        <w:t xml:space="preserve"> IVDR - An</w:t>
      </w:r>
      <w:r w:rsidR="00B61D66">
        <w:rPr>
          <w:lang w:val="en-GB"/>
        </w:rPr>
        <w:t>nex</w:t>
      </w:r>
      <w:r w:rsidRPr="006C5B12">
        <w:rPr>
          <w:lang w:val="en-GB"/>
        </w:rPr>
        <w:t xml:space="preserve"> I, </w:t>
      </w:r>
      <w:r w:rsidR="00B61D66">
        <w:rPr>
          <w:lang w:val="en-GB"/>
        </w:rPr>
        <w:t>Chapter</w:t>
      </w:r>
      <w:r w:rsidRPr="006C5B12">
        <w:rPr>
          <w:lang w:val="en-GB"/>
        </w:rPr>
        <w:t xml:space="preserve"> 2, </w:t>
      </w:r>
      <w:r w:rsidR="00B61D66">
        <w:rPr>
          <w:lang w:val="en-GB"/>
        </w:rPr>
        <w:t>Sections</w:t>
      </w:r>
      <w:r w:rsidRPr="006C5B12">
        <w:rPr>
          <w:lang w:val="en-GB"/>
        </w:rPr>
        <w:t xml:space="preserve"> 16.1 </w:t>
      </w:r>
      <w:r w:rsidR="00B61D66">
        <w:rPr>
          <w:lang w:val="en-GB"/>
        </w:rPr>
        <w:t>a</w:t>
      </w:r>
      <w:r w:rsidRPr="006C5B12">
        <w:rPr>
          <w:lang w:val="en-GB"/>
        </w:rPr>
        <w:t>nd 16.2</w:t>
      </w:r>
    </w:p>
    <w:tbl>
      <w:tblPr>
        <w:tblW w:w="8784" w:type="dxa"/>
        <w:tblLook w:val="04A0" w:firstRow="1" w:lastRow="0" w:firstColumn="1" w:lastColumn="0" w:noHBand="0" w:noVBand="1"/>
      </w:tblPr>
      <w:tblGrid>
        <w:gridCol w:w="1413"/>
        <w:gridCol w:w="7371"/>
      </w:tblGrid>
      <w:tr w:rsidR="004C602B" w:rsidRPr="006C5B12" w14:paraId="226495A9" w14:textId="77777777" w:rsidTr="00776F4D">
        <w:trPr>
          <w:trHeight w:val="318"/>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0EEC0BB" w14:textId="77777777" w:rsidR="004C602B" w:rsidRPr="006C5B12" w:rsidRDefault="004C602B" w:rsidP="00776F4D">
            <w:pPr>
              <w:pStyle w:val="Default"/>
              <w:spacing w:after="60"/>
              <w:rPr>
                <w:rFonts w:asciiTheme="minorHAnsi" w:hAnsiTheme="minorHAnsi" w:cstheme="minorBidi"/>
                <w:b/>
                <w:bCs/>
                <w:i/>
                <w:color w:val="auto"/>
                <w:sz w:val="20"/>
                <w:szCs w:val="20"/>
              </w:rPr>
            </w:pPr>
            <w:r w:rsidRPr="006C5B12">
              <w:rPr>
                <w:rFonts w:asciiTheme="minorHAnsi" w:hAnsiTheme="minorHAnsi" w:cstheme="minorBidi"/>
                <w:b/>
                <w:bCs/>
                <w:i/>
                <w:color w:val="auto"/>
                <w:sz w:val="20"/>
                <w:szCs w:val="20"/>
              </w:rPr>
              <w:t>IVDR</w:t>
            </w:r>
          </w:p>
        </w:tc>
      </w:tr>
      <w:tr w:rsidR="004C602B" w:rsidRPr="006C5B12" w14:paraId="59EABF18" w14:textId="77777777" w:rsidTr="00776F4D">
        <w:trPr>
          <w:trHeight w:val="280"/>
        </w:trPr>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tcPr>
          <w:p w14:paraId="07CE3210" w14:textId="45C757C6" w:rsidR="004C602B" w:rsidRPr="006C5B12" w:rsidRDefault="004C602B" w:rsidP="00776F4D">
            <w:pPr>
              <w:pStyle w:val="Default"/>
              <w:spacing w:after="60"/>
              <w:rPr>
                <w:rFonts w:asciiTheme="minorHAnsi" w:hAnsiTheme="minorHAnsi" w:cstheme="minorBidi"/>
                <w:i/>
                <w:color w:val="auto"/>
                <w:sz w:val="20"/>
                <w:szCs w:val="20"/>
              </w:rPr>
            </w:pPr>
            <w:r w:rsidRPr="006C5B12">
              <w:rPr>
                <w:rFonts w:asciiTheme="minorHAnsi" w:hAnsiTheme="minorHAnsi" w:cstheme="minorBidi"/>
                <w:i/>
                <w:color w:val="auto"/>
                <w:sz w:val="20"/>
                <w:szCs w:val="20"/>
              </w:rPr>
              <w:t>An</w:t>
            </w:r>
            <w:r w:rsidR="00B61D66">
              <w:rPr>
                <w:rFonts w:asciiTheme="minorHAnsi" w:hAnsiTheme="minorHAnsi" w:cstheme="minorBidi"/>
                <w:i/>
                <w:color w:val="auto"/>
                <w:sz w:val="20"/>
                <w:szCs w:val="20"/>
              </w:rPr>
              <w:t>nex</w:t>
            </w:r>
            <w:r w:rsidRPr="006C5B12">
              <w:rPr>
                <w:rFonts w:asciiTheme="minorHAnsi" w:hAnsiTheme="minorHAnsi" w:cstheme="minorBidi"/>
                <w:i/>
                <w:color w:val="auto"/>
                <w:sz w:val="20"/>
                <w:szCs w:val="20"/>
              </w:rPr>
              <w:t xml:space="preserve"> 1 </w:t>
            </w:r>
            <w:r w:rsidR="00B61D66">
              <w:rPr>
                <w:rFonts w:asciiTheme="minorHAnsi" w:hAnsiTheme="minorHAnsi" w:cstheme="minorBidi"/>
                <w:i/>
                <w:color w:val="auto"/>
                <w:sz w:val="20"/>
                <w:szCs w:val="20"/>
              </w:rPr>
              <w:t>Chapter</w:t>
            </w:r>
            <w:r w:rsidRPr="006C5B12">
              <w:rPr>
                <w:rFonts w:asciiTheme="minorHAnsi" w:hAnsiTheme="minorHAnsi" w:cstheme="minorBidi"/>
                <w:i/>
                <w:color w:val="auto"/>
                <w:sz w:val="20"/>
                <w:szCs w:val="20"/>
              </w:rPr>
              <w:t xml:space="preserve"> 2</w:t>
            </w:r>
          </w:p>
        </w:tc>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0C635619" w14:textId="77777777" w:rsidR="004C602B" w:rsidRPr="006C5B12" w:rsidRDefault="004C602B" w:rsidP="00776F4D">
            <w:pPr>
              <w:pStyle w:val="Default"/>
              <w:spacing w:after="60"/>
              <w:rPr>
                <w:rFonts w:asciiTheme="minorHAnsi" w:hAnsiTheme="minorHAnsi" w:cstheme="minorBidi"/>
                <w:i/>
                <w:color w:val="auto"/>
                <w:sz w:val="20"/>
                <w:szCs w:val="20"/>
              </w:rPr>
            </w:pPr>
          </w:p>
        </w:tc>
      </w:tr>
      <w:tr w:rsidR="004C602B" w:rsidRPr="00D02B35" w14:paraId="2B642DBB"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1DB1D689" w14:textId="1E61C41F" w:rsidR="004C602B" w:rsidRPr="006C5B12" w:rsidRDefault="00B61D66" w:rsidP="00776F4D">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4C602B" w:rsidRPr="006C5B12">
              <w:rPr>
                <w:rFonts w:asciiTheme="minorHAnsi" w:hAnsiTheme="minorHAnsi" w:cstheme="minorBidi"/>
                <w:i/>
                <w:color w:val="auto"/>
                <w:sz w:val="20"/>
                <w:szCs w:val="20"/>
              </w:rPr>
              <w:t xml:space="preserve"> 16.1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4A7FFEF1" w14:textId="1BCCAD26" w:rsidR="004C602B" w:rsidRPr="006C5B12" w:rsidRDefault="00B61D66" w:rsidP="00776F4D">
            <w:pPr>
              <w:pStyle w:val="Default"/>
              <w:spacing w:after="60"/>
              <w:rPr>
                <w:rFonts w:asciiTheme="minorHAnsi" w:hAnsiTheme="minorHAnsi" w:cstheme="minorBidi"/>
                <w:i/>
                <w:color w:val="auto"/>
                <w:sz w:val="20"/>
                <w:szCs w:val="20"/>
              </w:rPr>
            </w:pPr>
            <w:r w:rsidRPr="00B61D66">
              <w:rPr>
                <w:rFonts w:asciiTheme="minorHAnsi" w:hAnsiTheme="minorHAnsi" w:cstheme="minorBidi"/>
                <w:i/>
                <w:color w:val="auto"/>
                <w:sz w:val="20"/>
                <w:szCs w:val="20"/>
              </w:rPr>
              <w:t>Devices that incorporate electronic programmable systems</w:t>
            </w:r>
            <w:r w:rsidR="00802DC2">
              <w:rPr>
                <w:rFonts w:asciiTheme="minorHAnsi" w:hAnsiTheme="minorHAnsi" w:cstheme="minorBidi"/>
                <w:i/>
                <w:color w:val="auto"/>
                <w:sz w:val="20"/>
                <w:szCs w:val="20"/>
              </w:rPr>
              <w:t>,</w:t>
            </w:r>
            <w:r w:rsidRPr="00B61D66">
              <w:rPr>
                <w:rFonts w:asciiTheme="minorHAnsi" w:hAnsiTheme="minorHAnsi" w:cstheme="minorBidi"/>
                <w:i/>
                <w:color w:val="auto"/>
                <w:sz w:val="20"/>
                <w:szCs w:val="20"/>
              </w:rPr>
              <w:t xml:space="preserve"> including software, or </w:t>
            </w:r>
            <w:r w:rsidR="00802DC2" w:rsidRPr="00B61D66">
              <w:rPr>
                <w:rFonts w:asciiTheme="minorHAnsi" w:hAnsiTheme="minorHAnsi" w:cstheme="minorBidi"/>
                <w:i/>
                <w:color w:val="auto"/>
                <w:sz w:val="20"/>
                <w:szCs w:val="20"/>
              </w:rPr>
              <w:t xml:space="preserve">devices that are </w:t>
            </w:r>
            <w:r w:rsidRPr="00B61D66">
              <w:rPr>
                <w:rFonts w:asciiTheme="minorHAnsi" w:hAnsiTheme="minorHAnsi" w:cstheme="minorBidi"/>
                <w:i/>
                <w:color w:val="auto"/>
                <w:sz w:val="20"/>
                <w:szCs w:val="20"/>
              </w:rPr>
              <w:t xml:space="preserve">software in </w:t>
            </w:r>
            <w:r w:rsidR="00802DC2">
              <w:rPr>
                <w:rFonts w:asciiTheme="minorHAnsi" w:hAnsiTheme="minorHAnsi" w:cstheme="minorBidi"/>
                <w:i/>
                <w:color w:val="auto"/>
                <w:sz w:val="20"/>
                <w:szCs w:val="20"/>
              </w:rPr>
              <w:t xml:space="preserve">and of </w:t>
            </w:r>
            <w:r w:rsidRPr="00B61D66">
              <w:rPr>
                <w:rFonts w:asciiTheme="minorHAnsi" w:hAnsiTheme="minorHAnsi" w:cstheme="minorBidi"/>
                <w:i/>
                <w:color w:val="auto"/>
                <w:sz w:val="20"/>
                <w:szCs w:val="20"/>
              </w:rPr>
              <w:t>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r w:rsidRPr="006C5B12">
              <w:rPr>
                <w:rFonts w:asciiTheme="minorHAnsi" w:hAnsiTheme="minorHAnsi" w:cstheme="minorBidi"/>
                <w:i/>
                <w:color w:val="auto"/>
                <w:sz w:val="20"/>
                <w:szCs w:val="20"/>
              </w:rPr>
              <w:t xml:space="preserve"> </w:t>
            </w:r>
          </w:p>
        </w:tc>
      </w:tr>
      <w:tr w:rsidR="004C602B" w:rsidRPr="00D02B35" w14:paraId="464EE5AE"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28B99B23" w14:textId="7A6B52D9" w:rsidR="004C602B" w:rsidRPr="006C5B12" w:rsidRDefault="00B61D66" w:rsidP="004C602B">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4C602B" w:rsidRPr="006C5B12">
              <w:rPr>
                <w:rFonts w:asciiTheme="minorHAnsi" w:hAnsiTheme="minorHAnsi" w:cstheme="minorBidi"/>
                <w:i/>
                <w:color w:val="auto"/>
                <w:sz w:val="20"/>
                <w:szCs w:val="20"/>
              </w:rPr>
              <w:t xml:space="preserve"> 16.2</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38166BA" w14:textId="1CAA87F0" w:rsidR="004C602B" w:rsidRPr="006C5B12" w:rsidRDefault="00B61D66" w:rsidP="004C602B">
            <w:pPr>
              <w:pStyle w:val="Default"/>
              <w:spacing w:after="60"/>
              <w:rPr>
                <w:rFonts w:asciiTheme="minorHAnsi" w:hAnsiTheme="minorHAnsi" w:cstheme="minorBidi"/>
                <w:i/>
                <w:color w:val="auto"/>
                <w:sz w:val="20"/>
                <w:szCs w:val="20"/>
              </w:rPr>
            </w:pPr>
            <w:r w:rsidRPr="00CD6012">
              <w:rPr>
                <w:rFonts w:asciiTheme="minorHAnsi" w:hAnsiTheme="minorHAnsi" w:cstheme="minorBidi"/>
                <w:i/>
                <w:color w:val="auto"/>
                <w:sz w:val="20"/>
                <w:szCs w:val="20"/>
              </w:rPr>
              <w:t xml:space="preserve">For devices that incorporate software or for </w:t>
            </w:r>
            <w:r w:rsidR="00802DC2" w:rsidRPr="00CD6012">
              <w:rPr>
                <w:rFonts w:asciiTheme="minorHAnsi" w:hAnsiTheme="minorHAnsi" w:cstheme="minorBidi"/>
                <w:i/>
                <w:color w:val="auto"/>
                <w:sz w:val="20"/>
                <w:szCs w:val="20"/>
              </w:rPr>
              <w:t xml:space="preserve">devices </w:t>
            </w:r>
            <w:r w:rsidRPr="00CD6012">
              <w:rPr>
                <w:rFonts w:asciiTheme="minorHAnsi" w:hAnsiTheme="minorHAnsi" w:cstheme="minorBidi"/>
                <w:i/>
                <w:color w:val="auto"/>
                <w:sz w:val="20"/>
                <w:szCs w:val="20"/>
              </w:rPr>
              <w:t xml:space="preserve">that are </w:t>
            </w:r>
            <w:r w:rsidR="00802DC2" w:rsidRPr="00CD6012">
              <w:rPr>
                <w:rFonts w:asciiTheme="minorHAnsi" w:hAnsiTheme="minorHAnsi" w:cstheme="minorBidi"/>
                <w:i/>
                <w:color w:val="auto"/>
                <w:sz w:val="20"/>
                <w:szCs w:val="20"/>
              </w:rPr>
              <w:t xml:space="preserve">software </w:t>
            </w:r>
            <w:r w:rsidR="00CD6012">
              <w:rPr>
                <w:rFonts w:asciiTheme="minorHAnsi" w:hAnsiTheme="minorHAnsi" w:cstheme="minorBidi"/>
                <w:i/>
                <w:color w:val="auto"/>
                <w:sz w:val="20"/>
                <w:szCs w:val="20"/>
              </w:rPr>
              <w:t>in and of</w:t>
            </w:r>
            <w:r w:rsidRPr="00CD6012">
              <w:rPr>
                <w:rFonts w:asciiTheme="minorHAnsi" w:hAnsiTheme="minorHAnsi" w:cstheme="minorBidi"/>
                <w:i/>
                <w:color w:val="auto"/>
                <w:sz w:val="20"/>
                <w:szCs w:val="20"/>
              </w:rPr>
              <w:t xml:space="preserve"> themselves, the software shall be developed and manufactured in accordance with the state of the art </w:t>
            </w:r>
            <w:proofErr w:type="gramStart"/>
            <w:r w:rsidRPr="00CD6012">
              <w:rPr>
                <w:rFonts w:asciiTheme="minorHAnsi" w:hAnsiTheme="minorHAnsi" w:cstheme="minorBidi"/>
                <w:i/>
                <w:color w:val="auto"/>
                <w:sz w:val="20"/>
                <w:szCs w:val="20"/>
              </w:rPr>
              <w:t>taking into account</w:t>
            </w:r>
            <w:proofErr w:type="gramEnd"/>
            <w:r w:rsidRPr="00CD6012">
              <w:rPr>
                <w:rFonts w:asciiTheme="minorHAnsi" w:hAnsiTheme="minorHAnsi" w:cstheme="minorBidi"/>
                <w:i/>
                <w:color w:val="auto"/>
                <w:sz w:val="20"/>
                <w:szCs w:val="20"/>
              </w:rPr>
              <w:t xml:space="preserve"> the principles of development life cycle, risk management</w:t>
            </w:r>
            <w:r w:rsidR="00802DC2">
              <w:rPr>
                <w:rFonts w:asciiTheme="minorHAnsi" w:hAnsiTheme="minorHAnsi" w:cstheme="minorBidi"/>
                <w:i/>
                <w:color w:val="auto"/>
                <w:sz w:val="20"/>
                <w:szCs w:val="20"/>
              </w:rPr>
              <w:t xml:space="preserve"> (</w:t>
            </w:r>
            <w:r w:rsidRPr="00CD6012">
              <w:rPr>
                <w:rFonts w:asciiTheme="minorHAnsi" w:hAnsiTheme="minorHAnsi" w:cstheme="minorBidi"/>
                <w:i/>
                <w:color w:val="auto"/>
                <w:sz w:val="20"/>
                <w:szCs w:val="20"/>
              </w:rPr>
              <w:t>including information security</w:t>
            </w:r>
            <w:r w:rsidR="00802DC2">
              <w:rPr>
                <w:rFonts w:asciiTheme="minorHAnsi" w:hAnsiTheme="minorHAnsi" w:cstheme="minorBidi"/>
                <w:i/>
                <w:color w:val="auto"/>
                <w:sz w:val="20"/>
                <w:szCs w:val="20"/>
              </w:rPr>
              <w:t>)</w:t>
            </w:r>
            <w:r w:rsidRPr="00CD6012">
              <w:rPr>
                <w:rFonts w:asciiTheme="minorHAnsi" w:hAnsiTheme="minorHAnsi" w:cstheme="minorBidi"/>
                <w:i/>
                <w:color w:val="auto"/>
                <w:sz w:val="20"/>
                <w:szCs w:val="20"/>
              </w:rPr>
              <w:t>, verification and validation.</w:t>
            </w:r>
            <w:r w:rsidRPr="006C5B12">
              <w:rPr>
                <w:rFonts w:asciiTheme="minorHAnsi" w:hAnsiTheme="minorHAnsi" w:cstheme="minorBidi"/>
                <w:i/>
                <w:color w:val="auto"/>
                <w:sz w:val="20"/>
                <w:szCs w:val="20"/>
              </w:rPr>
              <w:t xml:space="preserve"> </w:t>
            </w:r>
            <w:r>
              <w:rPr>
                <w:rFonts w:asciiTheme="minorHAnsi" w:hAnsiTheme="minorHAnsi" w:cstheme="minorBidi"/>
                <w:i/>
                <w:color w:val="auto"/>
                <w:sz w:val="20"/>
                <w:szCs w:val="20"/>
              </w:rPr>
              <w:t xml:space="preserve"> </w:t>
            </w:r>
          </w:p>
        </w:tc>
      </w:tr>
    </w:tbl>
    <w:p w14:paraId="303573C0" w14:textId="77777777" w:rsidR="004C602B" w:rsidRPr="006C5B12" w:rsidRDefault="004C602B">
      <w:pPr>
        <w:rPr>
          <w:lang w:val="en-GB"/>
        </w:rPr>
      </w:pPr>
    </w:p>
    <w:p w14:paraId="29F6EA31" w14:textId="6872CD8B" w:rsidR="00A02FC9" w:rsidRPr="00A71F51" w:rsidRDefault="00A02FC9">
      <w:pPr>
        <w:pStyle w:val="berschrift2"/>
        <w:rPr>
          <w:lang w:val="en-GB"/>
        </w:rPr>
      </w:pPr>
      <w:r w:rsidRPr="00A71F51">
        <w:rPr>
          <w:lang w:val="en-GB"/>
        </w:rPr>
        <w:t>Ris</w:t>
      </w:r>
      <w:r w:rsidR="00F437DF" w:rsidRPr="00A71F51">
        <w:rPr>
          <w:lang w:val="en-GB"/>
        </w:rPr>
        <w:t xml:space="preserve">ks </w:t>
      </w:r>
      <w:r w:rsidR="00802DC2" w:rsidRPr="00A71F51">
        <w:rPr>
          <w:lang w:val="en-GB"/>
        </w:rPr>
        <w:t>related to</w:t>
      </w:r>
      <w:r w:rsidR="00F437DF" w:rsidRPr="00A71F51">
        <w:rPr>
          <w:lang w:val="en-GB"/>
        </w:rPr>
        <w:t xml:space="preserve"> devices connected to an energy source </w:t>
      </w:r>
    </w:p>
    <w:p w14:paraId="1CCD6C00" w14:textId="024B20A3" w:rsidR="004C602B" w:rsidRPr="006C5B12" w:rsidRDefault="004C602B" w:rsidP="004C602B">
      <w:pPr>
        <w:pStyle w:val="Beschriftung"/>
        <w:rPr>
          <w:lang w:val="en-GB"/>
        </w:rPr>
      </w:pPr>
      <w:r w:rsidRPr="006C5B12">
        <w:rPr>
          <w:lang w:val="en-GB"/>
        </w:rPr>
        <w:t xml:space="preserve">Table </w:t>
      </w:r>
      <w:r w:rsidR="00F80F8D" w:rsidRPr="006C5B12">
        <w:rPr>
          <w:noProof/>
          <w:lang w:val="en-GB"/>
        </w:rPr>
        <w:fldChar w:fldCharType="begin"/>
      </w:r>
      <w:r w:rsidR="00F80F8D" w:rsidRPr="006C5B12">
        <w:rPr>
          <w:noProof/>
          <w:lang w:val="en-GB"/>
        </w:rPr>
        <w:instrText xml:space="preserve"> SEQ Tabelle \* ARABIC </w:instrText>
      </w:r>
      <w:r w:rsidR="00F80F8D" w:rsidRPr="006C5B12">
        <w:rPr>
          <w:noProof/>
          <w:lang w:val="en-GB"/>
        </w:rPr>
        <w:fldChar w:fldCharType="separate"/>
      </w:r>
      <w:r w:rsidR="00087CA3" w:rsidRPr="006C5B12">
        <w:rPr>
          <w:noProof/>
          <w:lang w:val="en-GB"/>
        </w:rPr>
        <w:t>12</w:t>
      </w:r>
      <w:r w:rsidR="00F80F8D" w:rsidRPr="006C5B12">
        <w:rPr>
          <w:noProof/>
          <w:lang w:val="en-GB"/>
        </w:rPr>
        <w:fldChar w:fldCharType="end"/>
      </w:r>
      <w:r w:rsidRPr="006C5B12">
        <w:rPr>
          <w:lang w:val="en-GB"/>
        </w:rPr>
        <w:t xml:space="preserve"> IVDR - An</w:t>
      </w:r>
      <w:r w:rsidR="00F437DF">
        <w:rPr>
          <w:lang w:val="en-GB"/>
        </w:rPr>
        <w:t>nex</w:t>
      </w:r>
      <w:r w:rsidRPr="006C5B12">
        <w:rPr>
          <w:lang w:val="en-GB"/>
        </w:rPr>
        <w:t xml:space="preserve"> I, </w:t>
      </w:r>
      <w:r w:rsidR="00F437DF">
        <w:rPr>
          <w:lang w:val="en-GB"/>
        </w:rPr>
        <w:t>Chapter</w:t>
      </w:r>
      <w:r w:rsidRPr="006C5B12">
        <w:rPr>
          <w:lang w:val="en-GB"/>
        </w:rPr>
        <w:t xml:space="preserve"> 2, </w:t>
      </w:r>
      <w:r w:rsidR="00F437DF">
        <w:rPr>
          <w:lang w:val="en-GB"/>
        </w:rPr>
        <w:t>Sections</w:t>
      </w:r>
      <w:r w:rsidRPr="006C5B12">
        <w:rPr>
          <w:lang w:val="en-GB"/>
        </w:rPr>
        <w:t xml:space="preserve"> </w:t>
      </w:r>
      <w:r w:rsidR="000D7002" w:rsidRPr="006C5B12">
        <w:rPr>
          <w:lang w:val="en-GB"/>
        </w:rPr>
        <w:t xml:space="preserve">17.1, 17.3 </w:t>
      </w:r>
      <w:r w:rsidR="00F437DF">
        <w:rPr>
          <w:lang w:val="en-GB"/>
        </w:rPr>
        <w:t>a</w:t>
      </w:r>
      <w:r w:rsidR="000D7002" w:rsidRPr="006C5B12">
        <w:rPr>
          <w:lang w:val="en-GB"/>
        </w:rPr>
        <w:t>nd 17.5</w:t>
      </w:r>
    </w:p>
    <w:tbl>
      <w:tblPr>
        <w:tblW w:w="8784" w:type="dxa"/>
        <w:tblLook w:val="04A0" w:firstRow="1" w:lastRow="0" w:firstColumn="1" w:lastColumn="0" w:noHBand="0" w:noVBand="1"/>
      </w:tblPr>
      <w:tblGrid>
        <w:gridCol w:w="1413"/>
        <w:gridCol w:w="7371"/>
      </w:tblGrid>
      <w:tr w:rsidR="004C602B" w:rsidRPr="006C5B12" w14:paraId="2EC94529" w14:textId="77777777" w:rsidTr="00776F4D">
        <w:trPr>
          <w:trHeight w:val="318"/>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FB5068F" w14:textId="77777777" w:rsidR="004C602B" w:rsidRPr="006C5B12" w:rsidRDefault="004C602B" w:rsidP="00776F4D">
            <w:pPr>
              <w:pStyle w:val="Default"/>
              <w:spacing w:after="60"/>
              <w:rPr>
                <w:rFonts w:asciiTheme="minorHAnsi" w:hAnsiTheme="minorHAnsi" w:cstheme="minorBidi"/>
                <w:b/>
                <w:bCs/>
                <w:i/>
                <w:color w:val="auto"/>
                <w:sz w:val="20"/>
                <w:szCs w:val="20"/>
              </w:rPr>
            </w:pPr>
            <w:r w:rsidRPr="006C5B12">
              <w:rPr>
                <w:rFonts w:asciiTheme="minorHAnsi" w:hAnsiTheme="minorHAnsi" w:cstheme="minorBidi"/>
                <w:b/>
                <w:bCs/>
                <w:i/>
                <w:color w:val="auto"/>
                <w:sz w:val="20"/>
                <w:szCs w:val="20"/>
              </w:rPr>
              <w:t>IVDR</w:t>
            </w:r>
          </w:p>
        </w:tc>
      </w:tr>
      <w:tr w:rsidR="004C602B" w:rsidRPr="006C5B12" w14:paraId="552904F3" w14:textId="77777777" w:rsidTr="00776F4D">
        <w:trPr>
          <w:trHeight w:val="280"/>
        </w:trPr>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tcPr>
          <w:p w14:paraId="7A6F0BFC" w14:textId="7EC27881" w:rsidR="004C602B" w:rsidRPr="006C5B12" w:rsidRDefault="004C602B" w:rsidP="00776F4D">
            <w:pPr>
              <w:pStyle w:val="Default"/>
              <w:spacing w:after="60"/>
              <w:rPr>
                <w:rFonts w:asciiTheme="minorHAnsi" w:hAnsiTheme="minorHAnsi" w:cstheme="minorBidi"/>
                <w:i/>
                <w:color w:val="auto"/>
                <w:sz w:val="20"/>
                <w:szCs w:val="20"/>
              </w:rPr>
            </w:pPr>
            <w:r w:rsidRPr="006C5B12">
              <w:rPr>
                <w:rFonts w:asciiTheme="minorHAnsi" w:hAnsiTheme="minorHAnsi" w:cstheme="minorBidi"/>
                <w:i/>
                <w:color w:val="auto"/>
                <w:sz w:val="20"/>
                <w:szCs w:val="20"/>
              </w:rPr>
              <w:t>An</w:t>
            </w:r>
            <w:r w:rsidR="006D7B36">
              <w:rPr>
                <w:rFonts w:asciiTheme="minorHAnsi" w:hAnsiTheme="minorHAnsi" w:cstheme="minorBidi"/>
                <w:i/>
                <w:color w:val="auto"/>
                <w:sz w:val="20"/>
                <w:szCs w:val="20"/>
              </w:rPr>
              <w:t>nex</w:t>
            </w:r>
            <w:r w:rsidRPr="006C5B12">
              <w:rPr>
                <w:rFonts w:asciiTheme="minorHAnsi" w:hAnsiTheme="minorHAnsi" w:cstheme="minorBidi"/>
                <w:i/>
                <w:color w:val="auto"/>
                <w:sz w:val="20"/>
                <w:szCs w:val="20"/>
              </w:rPr>
              <w:t xml:space="preserve"> 1 </w:t>
            </w:r>
            <w:r w:rsidR="006D7B36">
              <w:rPr>
                <w:rFonts w:asciiTheme="minorHAnsi" w:hAnsiTheme="minorHAnsi" w:cstheme="minorBidi"/>
                <w:i/>
                <w:color w:val="auto"/>
                <w:sz w:val="20"/>
                <w:szCs w:val="20"/>
              </w:rPr>
              <w:t>Chapter</w:t>
            </w:r>
            <w:r w:rsidRPr="006C5B12">
              <w:rPr>
                <w:rFonts w:asciiTheme="minorHAnsi" w:hAnsiTheme="minorHAnsi" w:cstheme="minorBidi"/>
                <w:i/>
                <w:color w:val="auto"/>
                <w:sz w:val="20"/>
                <w:szCs w:val="20"/>
              </w:rPr>
              <w:t xml:space="preserve"> 2</w:t>
            </w:r>
          </w:p>
        </w:tc>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112BB770" w14:textId="77777777" w:rsidR="004C602B" w:rsidRPr="006C5B12" w:rsidRDefault="004C602B" w:rsidP="00776F4D">
            <w:pPr>
              <w:pStyle w:val="Default"/>
              <w:spacing w:after="60"/>
              <w:rPr>
                <w:rFonts w:asciiTheme="minorHAnsi" w:hAnsiTheme="minorHAnsi" w:cstheme="minorBidi"/>
                <w:i/>
                <w:color w:val="auto"/>
                <w:sz w:val="20"/>
                <w:szCs w:val="20"/>
              </w:rPr>
            </w:pPr>
          </w:p>
        </w:tc>
      </w:tr>
      <w:tr w:rsidR="004C602B" w:rsidRPr="00D02B35" w14:paraId="0F8A84BC"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21AFC023" w14:textId="5DCB69F2" w:rsidR="004C602B" w:rsidRPr="006C5B12" w:rsidRDefault="006D7B36" w:rsidP="00776F4D">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4C602B" w:rsidRPr="006C5B12">
              <w:rPr>
                <w:rFonts w:asciiTheme="minorHAnsi" w:hAnsiTheme="minorHAnsi" w:cstheme="minorBidi"/>
                <w:i/>
                <w:color w:val="auto"/>
                <w:sz w:val="20"/>
                <w:szCs w:val="20"/>
              </w:rPr>
              <w:t xml:space="preserve"> 17.1</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14:paraId="6E6ABABB" w14:textId="03912490" w:rsidR="004C602B" w:rsidRPr="006C5B12" w:rsidRDefault="006D7B36" w:rsidP="00776F4D">
            <w:pPr>
              <w:pStyle w:val="Default"/>
              <w:spacing w:after="60"/>
              <w:rPr>
                <w:rFonts w:asciiTheme="minorHAnsi" w:hAnsiTheme="minorHAnsi" w:cstheme="minorBidi"/>
                <w:i/>
                <w:color w:val="auto"/>
                <w:sz w:val="20"/>
                <w:szCs w:val="20"/>
              </w:rPr>
            </w:pPr>
            <w:r w:rsidRPr="006D7B36">
              <w:rPr>
                <w:rFonts w:asciiTheme="minorHAnsi" w:hAnsiTheme="minorHAnsi" w:cstheme="minorBidi"/>
                <w:i/>
                <w:color w:val="auto"/>
                <w:sz w:val="20"/>
                <w:szCs w:val="20"/>
              </w:rPr>
              <w:t>For devices connected to or equipped with an energy source, in the event of a single fault condition, appropriate means shall be adopted to eliminate or reduce as far as possible consequent risks.</w:t>
            </w:r>
            <w:r w:rsidRPr="006C5B12">
              <w:rPr>
                <w:rFonts w:asciiTheme="minorHAnsi" w:hAnsiTheme="minorHAnsi" w:cstheme="minorBidi"/>
                <w:i/>
                <w:color w:val="auto"/>
                <w:sz w:val="20"/>
                <w:szCs w:val="20"/>
              </w:rPr>
              <w:t xml:space="preserve"> </w:t>
            </w:r>
          </w:p>
        </w:tc>
      </w:tr>
      <w:tr w:rsidR="004C602B" w:rsidRPr="00D02B35" w14:paraId="1D6167C5"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5012C9E2" w14:textId="218D2995" w:rsidR="004C602B" w:rsidRPr="006C5B12" w:rsidRDefault="006D7B36" w:rsidP="00776F4D">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4C602B" w:rsidRPr="006C5B12">
              <w:rPr>
                <w:rFonts w:asciiTheme="minorHAnsi" w:hAnsiTheme="minorHAnsi" w:cstheme="minorBidi"/>
                <w:i/>
                <w:color w:val="auto"/>
                <w:sz w:val="20"/>
                <w:szCs w:val="20"/>
              </w:rPr>
              <w:t xml:space="preserve"> 17.3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7BD7B5AB" w14:textId="370CD65A" w:rsidR="004C602B" w:rsidRPr="006C5B12" w:rsidRDefault="006D7B36" w:rsidP="00776F4D">
            <w:pPr>
              <w:pStyle w:val="Default"/>
              <w:spacing w:after="60"/>
              <w:rPr>
                <w:rFonts w:asciiTheme="minorHAnsi" w:hAnsiTheme="minorHAnsi" w:cstheme="minorBidi"/>
                <w:i/>
                <w:color w:val="auto"/>
                <w:sz w:val="20"/>
                <w:szCs w:val="20"/>
              </w:rPr>
            </w:pPr>
            <w:r w:rsidRPr="00FB6D9E">
              <w:rPr>
                <w:rFonts w:asciiTheme="minorHAnsi" w:hAnsiTheme="minorHAnsi" w:cstheme="minorBidi"/>
                <w:i/>
                <w:color w:val="auto"/>
                <w:sz w:val="20"/>
                <w:szCs w:val="20"/>
              </w:rPr>
              <w:t>Devices shall be designed and manufactured in such a way as to reduce as far as possible the risks of creating electromagnetic interference which could impair the operation of the device in question or other devices or equipment in the intended environment.</w:t>
            </w:r>
            <w:r w:rsidRPr="006C5B12">
              <w:rPr>
                <w:rFonts w:asciiTheme="minorHAnsi" w:hAnsiTheme="minorHAnsi" w:cstheme="minorBidi"/>
                <w:i/>
                <w:color w:val="auto"/>
                <w:sz w:val="20"/>
                <w:szCs w:val="20"/>
              </w:rPr>
              <w:t xml:space="preserve"> </w:t>
            </w:r>
          </w:p>
        </w:tc>
      </w:tr>
      <w:tr w:rsidR="004C602B" w:rsidRPr="00D02B35" w14:paraId="16F36841"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560296AD" w14:textId="3DD204FF" w:rsidR="004C602B" w:rsidRPr="006C5B12" w:rsidRDefault="006D7B36" w:rsidP="004C602B">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4C602B" w:rsidRPr="006C5B12">
              <w:rPr>
                <w:rFonts w:asciiTheme="minorHAnsi" w:hAnsiTheme="minorHAnsi" w:cstheme="minorBidi"/>
                <w:i/>
                <w:color w:val="auto"/>
                <w:sz w:val="20"/>
                <w:szCs w:val="20"/>
              </w:rPr>
              <w:t xml:space="preserve"> 17.5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C5B55B2" w14:textId="425E18F3" w:rsidR="004C602B" w:rsidRPr="006C5B12" w:rsidRDefault="006D7B36" w:rsidP="004C602B">
            <w:pPr>
              <w:pStyle w:val="Default"/>
              <w:spacing w:after="60"/>
              <w:rPr>
                <w:rFonts w:asciiTheme="minorHAnsi" w:hAnsiTheme="minorHAnsi" w:cstheme="minorBidi"/>
                <w:i/>
                <w:color w:val="auto"/>
                <w:sz w:val="20"/>
                <w:szCs w:val="20"/>
              </w:rPr>
            </w:pPr>
            <w:r w:rsidRPr="00FB6D9E">
              <w:rPr>
                <w:rFonts w:asciiTheme="minorHAnsi" w:hAnsiTheme="minorHAnsi" w:cstheme="minorBidi"/>
                <w:i/>
                <w:color w:val="auto"/>
                <w:sz w:val="20"/>
                <w:szCs w:val="20"/>
              </w:rPr>
              <w:t xml:space="preserve">Devices shall be designed and manufactured in such a way as to avoid as far as possible the risk of accidental electric shocks to the user or other person both during normal use </w:t>
            </w:r>
            <w:r w:rsidRPr="00FB6D9E">
              <w:rPr>
                <w:rFonts w:asciiTheme="minorHAnsi" w:hAnsiTheme="minorHAnsi" w:cstheme="minorBidi"/>
                <w:i/>
                <w:color w:val="auto"/>
                <w:sz w:val="20"/>
                <w:szCs w:val="20"/>
              </w:rPr>
              <w:lastRenderedPageBreak/>
              <w:t>of the device and in the event of a single fault condition in the device, provided the device is installed and maintained as indicated by the manufacturer.</w:t>
            </w:r>
            <w:r w:rsidRPr="006C5B12">
              <w:rPr>
                <w:rFonts w:asciiTheme="minorHAnsi" w:hAnsiTheme="minorHAnsi" w:cstheme="minorBidi"/>
                <w:i/>
                <w:color w:val="auto"/>
                <w:sz w:val="20"/>
                <w:szCs w:val="20"/>
              </w:rPr>
              <w:t xml:space="preserve"> </w:t>
            </w:r>
          </w:p>
        </w:tc>
      </w:tr>
    </w:tbl>
    <w:p w14:paraId="7CC7EC9E" w14:textId="3CD6B3C7" w:rsidR="004C602B" w:rsidRPr="006C5B12" w:rsidRDefault="004C602B">
      <w:pPr>
        <w:rPr>
          <w:lang w:val="en-GB"/>
        </w:rPr>
      </w:pPr>
    </w:p>
    <w:p w14:paraId="55B39DF1" w14:textId="3929B0E4" w:rsidR="006D7A56" w:rsidRPr="00A651E8" w:rsidRDefault="00FB6D9E">
      <w:pPr>
        <w:pStyle w:val="berschrift2"/>
        <w:rPr>
          <w:lang w:val="en-GB"/>
        </w:rPr>
      </w:pPr>
      <w:r w:rsidRPr="00A651E8">
        <w:rPr>
          <w:lang w:val="en-GB"/>
        </w:rPr>
        <w:t>Mechanical and thermal risks</w:t>
      </w:r>
      <w:r w:rsidR="00A02FC9" w:rsidRPr="00A651E8">
        <w:rPr>
          <w:lang w:val="en-GB"/>
        </w:rPr>
        <w:t xml:space="preserve"> </w:t>
      </w:r>
    </w:p>
    <w:p w14:paraId="4661A9B7" w14:textId="19CDCD8E" w:rsidR="004C602B" w:rsidRPr="00A651E8" w:rsidRDefault="004C602B" w:rsidP="004C602B">
      <w:pPr>
        <w:pStyle w:val="Beschriftung"/>
        <w:rPr>
          <w:lang w:val="en-GB"/>
        </w:rPr>
      </w:pPr>
      <w:r w:rsidRPr="00A651E8">
        <w:rPr>
          <w:lang w:val="en-GB"/>
        </w:rPr>
        <w:t xml:space="preserve">Table </w:t>
      </w:r>
      <w:r w:rsidR="00F80F8D" w:rsidRPr="00A651E8">
        <w:rPr>
          <w:noProof/>
          <w:lang w:val="en-GB"/>
        </w:rPr>
        <w:fldChar w:fldCharType="begin"/>
      </w:r>
      <w:r w:rsidR="00F80F8D" w:rsidRPr="00A651E8">
        <w:rPr>
          <w:noProof/>
          <w:lang w:val="en-GB"/>
        </w:rPr>
        <w:instrText xml:space="preserve"> SEQ Tabelle \* ARABIC </w:instrText>
      </w:r>
      <w:r w:rsidR="00F80F8D" w:rsidRPr="00A651E8">
        <w:rPr>
          <w:noProof/>
          <w:lang w:val="en-GB"/>
        </w:rPr>
        <w:fldChar w:fldCharType="separate"/>
      </w:r>
      <w:r w:rsidR="00087CA3" w:rsidRPr="00A651E8">
        <w:rPr>
          <w:noProof/>
          <w:lang w:val="en-GB"/>
        </w:rPr>
        <w:t>13</w:t>
      </w:r>
      <w:r w:rsidR="00F80F8D" w:rsidRPr="00A651E8">
        <w:rPr>
          <w:noProof/>
          <w:lang w:val="en-GB"/>
        </w:rPr>
        <w:fldChar w:fldCharType="end"/>
      </w:r>
      <w:r w:rsidRPr="00A651E8">
        <w:rPr>
          <w:lang w:val="en-GB"/>
        </w:rPr>
        <w:t xml:space="preserve"> IVDR - An</w:t>
      </w:r>
      <w:r w:rsidR="00FB6D9E" w:rsidRPr="00A651E8">
        <w:rPr>
          <w:lang w:val="en-GB"/>
        </w:rPr>
        <w:t>nex</w:t>
      </w:r>
      <w:r w:rsidRPr="00A651E8">
        <w:rPr>
          <w:lang w:val="en-GB"/>
        </w:rPr>
        <w:t xml:space="preserve"> I,</w:t>
      </w:r>
      <w:r w:rsidR="00FB6D9E" w:rsidRPr="00A651E8">
        <w:rPr>
          <w:lang w:val="en-GB"/>
        </w:rPr>
        <w:t xml:space="preserve"> Chapter</w:t>
      </w:r>
      <w:r w:rsidRPr="00A651E8">
        <w:rPr>
          <w:lang w:val="en-GB"/>
        </w:rPr>
        <w:t xml:space="preserve"> 2, </w:t>
      </w:r>
      <w:r w:rsidR="00FB6D9E" w:rsidRPr="00A651E8">
        <w:rPr>
          <w:lang w:val="en-GB"/>
        </w:rPr>
        <w:t>Sections</w:t>
      </w:r>
      <w:r w:rsidRPr="00A651E8">
        <w:rPr>
          <w:lang w:val="en-GB"/>
        </w:rPr>
        <w:t xml:space="preserve"> 1</w:t>
      </w:r>
      <w:r w:rsidR="000D7002" w:rsidRPr="00A651E8">
        <w:rPr>
          <w:lang w:val="en-GB"/>
        </w:rPr>
        <w:t>8</w:t>
      </w:r>
      <w:r w:rsidRPr="00A651E8">
        <w:rPr>
          <w:lang w:val="en-GB"/>
        </w:rPr>
        <w:t>.1</w:t>
      </w:r>
      <w:r w:rsidR="000D7002" w:rsidRPr="00A651E8">
        <w:rPr>
          <w:lang w:val="en-GB"/>
        </w:rPr>
        <w:t>, 18.3-7</w:t>
      </w:r>
    </w:p>
    <w:tbl>
      <w:tblPr>
        <w:tblW w:w="8784" w:type="dxa"/>
        <w:tblLook w:val="04A0" w:firstRow="1" w:lastRow="0" w:firstColumn="1" w:lastColumn="0" w:noHBand="0" w:noVBand="1"/>
      </w:tblPr>
      <w:tblGrid>
        <w:gridCol w:w="1413"/>
        <w:gridCol w:w="7371"/>
      </w:tblGrid>
      <w:tr w:rsidR="004C602B" w:rsidRPr="006C5B12" w14:paraId="648EB19C" w14:textId="77777777" w:rsidTr="00776F4D">
        <w:trPr>
          <w:trHeight w:val="318"/>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BB89DE9" w14:textId="5A4BB53C" w:rsidR="004C602B" w:rsidRPr="006C5B12" w:rsidRDefault="004C602B" w:rsidP="00776F4D">
            <w:pPr>
              <w:pStyle w:val="Default"/>
              <w:spacing w:after="60"/>
              <w:rPr>
                <w:rFonts w:asciiTheme="minorHAnsi" w:hAnsiTheme="minorHAnsi" w:cstheme="minorBidi"/>
                <w:b/>
                <w:bCs/>
                <w:i/>
                <w:color w:val="auto"/>
                <w:sz w:val="20"/>
                <w:szCs w:val="20"/>
              </w:rPr>
            </w:pPr>
            <w:r w:rsidRPr="006C5B12">
              <w:rPr>
                <w:rFonts w:asciiTheme="minorHAnsi" w:hAnsiTheme="minorHAnsi" w:cstheme="minorBidi"/>
                <w:b/>
                <w:bCs/>
                <w:i/>
                <w:color w:val="auto"/>
                <w:sz w:val="20"/>
                <w:szCs w:val="20"/>
              </w:rPr>
              <w:t>IVDR</w:t>
            </w:r>
          </w:p>
        </w:tc>
      </w:tr>
      <w:tr w:rsidR="004C602B" w:rsidRPr="006C5B12" w14:paraId="3FCF9398" w14:textId="77777777" w:rsidTr="00776F4D">
        <w:trPr>
          <w:trHeight w:val="280"/>
        </w:trPr>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tcPr>
          <w:p w14:paraId="51408FD4" w14:textId="56493DDF" w:rsidR="004C602B" w:rsidRPr="006C5B12" w:rsidRDefault="004C602B" w:rsidP="00776F4D">
            <w:pPr>
              <w:pStyle w:val="Default"/>
              <w:spacing w:after="60"/>
              <w:rPr>
                <w:rFonts w:asciiTheme="minorHAnsi" w:hAnsiTheme="minorHAnsi" w:cstheme="minorBidi"/>
                <w:i/>
                <w:color w:val="auto"/>
                <w:sz w:val="20"/>
                <w:szCs w:val="20"/>
              </w:rPr>
            </w:pPr>
            <w:r w:rsidRPr="006C5B12">
              <w:rPr>
                <w:rFonts w:asciiTheme="minorHAnsi" w:hAnsiTheme="minorHAnsi" w:cstheme="minorBidi"/>
                <w:i/>
                <w:color w:val="auto"/>
                <w:sz w:val="20"/>
                <w:szCs w:val="20"/>
              </w:rPr>
              <w:t>An</w:t>
            </w:r>
            <w:r w:rsidR="00FB6D9E">
              <w:rPr>
                <w:rFonts w:asciiTheme="minorHAnsi" w:hAnsiTheme="minorHAnsi" w:cstheme="minorBidi"/>
                <w:i/>
                <w:color w:val="auto"/>
                <w:sz w:val="20"/>
                <w:szCs w:val="20"/>
              </w:rPr>
              <w:t>nex</w:t>
            </w:r>
            <w:r w:rsidRPr="006C5B12">
              <w:rPr>
                <w:rFonts w:asciiTheme="minorHAnsi" w:hAnsiTheme="minorHAnsi" w:cstheme="minorBidi"/>
                <w:i/>
                <w:color w:val="auto"/>
                <w:sz w:val="20"/>
                <w:szCs w:val="20"/>
              </w:rPr>
              <w:t xml:space="preserve"> 1 </w:t>
            </w:r>
            <w:r w:rsidR="00FB6D9E">
              <w:rPr>
                <w:rFonts w:asciiTheme="minorHAnsi" w:hAnsiTheme="minorHAnsi" w:cstheme="minorBidi"/>
                <w:i/>
                <w:color w:val="auto"/>
                <w:sz w:val="20"/>
                <w:szCs w:val="20"/>
              </w:rPr>
              <w:t>Chapter</w:t>
            </w:r>
            <w:r w:rsidRPr="006C5B12">
              <w:rPr>
                <w:rFonts w:asciiTheme="minorHAnsi" w:hAnsiTheme="minorHAnsi" w:cstheme="minorBidi"/>
                <w:i/>
                <w:color w:val="auto"/>
                <w:sz w:val="20"/>
                <w:szCs w:val="20"/>
              </w:rPr>
              <w:t xml:space="preserve"> 2</w:t>
            </w:r>
          </w:p>
        </w:tc>
        <w:tc>
          <w:tcPr>
            <w:tcW w:w="7371" w:type="dxa"/>
            <w:tcBorders>
              <w:top w:val="single" w:sz="4" w:space="0" w:color="auto"/>
              <w:left w:val="single" w:sz="4" w:space="0" w:color="auto"/>
              <w:bottom w:val="single" w:sz="4" w:space="0" w:color="auto"/>
              <w:right w:val="single" w:sz="4" w:space="0" w:color="auto"/>
            </w:tcBorders>
            <w:shd w:val="clear" w:color="auto" w:fill="E7E6E6" w:themeFill="background2"/>
          </w:tcPr>
          <w:p w14:paraId="34DA8FE8" w14:textId="77777777" w:rsidR="004C602B" w:rsidRPr="006C5B12" w:rsidRDefault="004C602B" w:rsidP="00776F4D">
            <w:pPr>
              <w:pStyle w:val="Default"/>
              <w:spacing w:after="60"/>
              <w:rPr>
                <w:rFonts w:asciiTheme="minorHAnsi" w:hAnsiTheme="minorHAnsi" w:cstheme="minorBidi"/>
                <w:i/>
                <w:color w:val="auto"/>
                <w:sz w:val="20"/>
                <w:szCs w:val="20"/>
              </w:rPr>
            </w:pPr>
          </w:p>
        </w:tc>
      </w:tr>
      <w:tr w:rsidR="004C602B" w:rsidRPr="00D02B35" w14:paraId="3BFE9FE6" w14:textId="77777777" w:rsidTr="00F4147C">
        <w:trPr>
          <w:trHeight w:val="618"/>
        </w:trPr>
        <w:tc>
          <w:tcPr>
            <w:tcW w:w="1413" w:type="dxa"/>
            <w:tcBorders>
              <w:top w:val="single" w:sz="4" w:space="0" w:color="auto"/>
              <w:left w:val="single" w:sz="4" w:space="0" w:color="auto"/>
              <w:bottom w:val="single" w:sz="4" w:space="0" w:color="auto"/>
              <w:right w:val="single" w:sz="4" w:space="0" w:color="auto"/>
            </w:tcBorders>
          </w:tcPr>
          <w:p w14:paraId="195DFFAB" w14:textId="29F5E025" w:rsidR="004C602B" w:rsidRPr="006C5B12" w:rsidRDefault="00FB6D9E" w:rsidP="00776F4D">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4C602B" w:rsidRPr="006C5B12">
              <w:rPr>
                <w:rFonts w:asciiTheme="minorHAnsi" w:hAnsiTheme="minorHAnsi" w:cstheme="minorBidi"/>
                <w:i/>
                <w:color w:val="auto"/>
                <w:sz w:val="20"/>
                <w:szCs w:val="20"/>
              </w:rPr>
              <w:t xml:space="preserve"> 1</w:t>
            </w:r>
            <w:r w:rsidR="000D7002" w:rsidRPr="006C5B12">
              <w:rPr>
                <w:rFonts w:asciiTheme="minorHAnsi" w:hAnsiTheme="minorHAnsi" w:cstheme="minorBidi"/>
                <w:i/>
                <w:color w:val="auto"/>
                <w:sz w:val="20"/>
                <w:szCs w:val="20"/>
              </w:rPr>
              <w:t>8</w:t>
            </w:r>
            <w:r w:rsidR="004C602B" w:rsidRPr="006C5B12">
              <w:rPr>
                <w:rFonts w:asciiTheme="minorHAnsi" w:hAnsiTheme="minorHAnsi" w:cstheme="minorBidi"/>
                <w:i/>
                <w:color w:val="auto"/>
                <w:sz w:val="20"/>
                <w:szCs w:val="20"/>
              </w:rP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626079B" w14:textId="44309B6D" w:rsidR="004C602B" w:rsidRPr="006C5B12" w:rsidRDefault="00FB6D9E" w:rsidP="00776F4D">
            <w:pPr>
              <w:pStyle w:val="Default"/>
              <w:spacing w:after="60"/>
              <w:rPr>
                <w:rFonts w:asciiTheme="minorHAnsi" w:hAnsiTheme="minorHAnsi" w:cstheme="minorBidi"/>
                <w:i/>
                <w:color w:val="auto"/>
                <w:sz w:val="20"/>
                <w:szCs w:val="20"/>
              </w:rPr>
            </w:pPr>
            <w:r w:rsidRPr="00BF46FB">
              <w:rPr>
                <w:rFonts w:asciiTheme="minorHAnsi" w:hAnsiTheme="minorHAnsi" w:cstheme="minorBidi"/>
                <w:i/>
                <w:color w:val="auto"/>
                <w:sz w:val="20"/>
                <w:szCs w:val="20"/>
              </w:rPr>
              <w:t>Devices shall be designed and manufactured in such a way as to protect users and other persons against mechanical risks.</w:t>
            </w:r>
          </w:p>
        </w:tc>
      </w:tr>
      <w:tr w:rsidR="004C602B" w:rsidRPr="00D02B35" w14:paraId="03C92960"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3249052F" w14:textId="666EC004" w:rsidR="004C602B" w:rsidRPr="006C5B12" w:rsidRDefault="00FB6D9E" w:rsidP="00776F4D">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4C602B" w:rsidRPr="006C5B12">
              <w:rPr>
                <w:rFonts w:asciiTheme="minorHAnsi" w:hAnsiTheme="minorHAnsi" w:cstheme="minorBidi"/>
                <w:i/>
                <w:color w:val="auto"/>
                <w:sz w:val="20"/>
                <w:szCs w:val="20"/>
              </w:rPr>
              <w:t xml:space="preserve"> 1</w:t>
            </w:r>
            <w:r w:rsidR="000D7002" w:rsidRPr="006C5B12">
              <w:rPr>
                <w:rFonts w:asciiTheme="minorHAnsi" w:hAnsiTheme="minorHAnsi" w:cstheme="minorBidi"/>
                <w:i/>
                <w:color w:val="auto"/>
                <w:sz w:val="20"/>
                <w:szCs w:val="20"/>
              </w:rPr>
              <w:t>8</w:t>
            </w:r>
            <w:r w:rsidR="004C602B" w:rsidRPr="006C5B12">
              <w:rPr>
                <w:rFonts w:asciiTheme="minorHAnsi" w:hAnsiTheme="minorHAnsi" w:cstheme="minorBidi"/>
                <w:i/>
                <w:color w:val="auto"/>
                <w:sz w:val="20"/>
                <w:szCs w:val="20"/>
              </w:rPr>
              <w:t>.</w:t>
            </w:r>
            <w:r w:rsidR="000D7002" w:rsidRPr="006C5B12">
              <w:rPr>
                <w:rFonts w:asciiTheme="minorHAnsi" w:hAnsiTheme="minorHAnsi" w:cstheme="minorBidi"/>
                <w:i/>
                <w:color w:val="auto"/>
                <w:sz w:val="20"/>
                <w:szCs w:val="20"/>
              </w:rPr>
              <w:t>3</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3658B29E" w14:textId="18CF222F" w:rsidR="004C602B" w:rsidRPr="006C5B12" w:rsidRDefault="00802DC2" w:rsidP="000D7002">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A</w:t>
            </w:r>
            <w:r w:rsidRPr="00BF46FB">
              <w:rPr>
                <w:rFonts w:asciiTheme="minorHAnsi" w:hAnsiTheme="minorHAnsi" w:cstheme="minorBidi"/>
                <w:i/>
                <w:color w:val="auto"/>
                <w:sz w:val="20"/>
                <w:szCs w:val="20"/>
              </w:rPr>
              <w:t xml:space="preserve">ppropriate means of protection shall be incorporated </w:t>
            </w:r>
            <w:r>
              <w:rPr>
                <w:rFonts w:asciiTheme="minorHAnsi" w:hAnsiTheme="minorHAnsi" w:cstheme="minorBidi"/>
                <w:i/>
                <w:color w:val="auto"/>
                <w:sz w:val="20"/>
                <w:szCs w:val="20"/>
              </w:rPr>
              <w:t>w</w:t>
            </w:r>
            <w:r w:rsidR="00FB6D9E" w:rsidRPr="00BF46FB">
              <w:rPr>
                <w:rFonts w:asciiTheme="minorHAnsi" w:hAnsiTheme="minorHAnsi" w:cstheme="minorBidi"/>
                <w:i/>
                <w:color w:val="auto"/>
                <w:sz w:val="20"/>
                <w:szCs w:val="20"/>
              </w:rPr>
              <w:t xml:space="preserve">here there are risks due to the presence of moving parts, risks due to break-up or detachment, or </w:t>
            </w:r>
            <w:r>
              <w:rPr>
                <w:rFonts w:asciiTheme="minorHAnsi" w:hAnsiTheme="minorHAnsi" w:cstheme="minorBidi"/>
                <w:i/>
                <w:color w:val="auto"/>
                <w:sz w:val="20"/>
                <w:szCs w:val="20"/>
              </w:rPr>
              <w:t xml:space="preserve">the risk of a </w:t>
            </w:r>
            <w:r w:rsidR="00FB6D9E" w:rsidRPr="00BF46FB">
              <w:rPr>
                <w:rFonts w:asciiTheme="minorHAnsi" w:hAnsiTheme="minorHAnsi" w:cstheme="minorBidi"/>
                <w:i/>
                <w:color w:val="auto"/>
                <w:sz w:val="20"/>
                <w:szCs w:val="20"/>
              </w:rPr>
              <w:t>leakage of substances.</w:t>
            </w:r>
            <w:r w:rsidR="00FB6D9E" w:rsidRPr="006C5B12">
              <w:rPr>
                <w:rFonts w:asciiTheme="minorHAnsi" w:hAnsiTheme="minorHAnsi" w:cstheme="minorBidi"/>
                <w:i/>
                <w:color w:val="auto"/>
                <w:sz w:val="20"/>
                <w:szCs w:val="20"/>
              </w:rPr>
              <w:t xml:space="preserve"> </w:t>
            </w:r>
          </w:p>
        </w:tc>
      </w:tr>
      <w:tr w:rsidR="000D7002" w:rsidRPr="00D02B35" w14:paraId="205CEB49"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37FD4C1C" w14:textId="30E0CB11" w:rsidR="000D7002" w:rsidRPr="006C5B12" w:rsidRDefault="00FB6D9E" w:rsidP="000D7002">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0D7002" w:rsidRPr="006C5B12">
              <w:rPr>
                <w:rFonts w:asciiTheme="minorHAnsi" w:hAnsiTheme="minorHAnsi" w:cstheme="minorBidi"/>
                <w:i/>
                <w:color w:val="auto"/>
                <w:sz w:val="20"/>
                <w:szCs w:val="20"/>
              </w:rPr>
              <w:t xml:space="preserve"> 18.4</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0B5D9655" w14:textId="5805AFE3" w:rsidR="000D7002" w:rsidRPr="006C5B12" w:rsidRDefault="00FB6D9E" w:rsidP="000D7002">
            <w:pPr>
              <w:pStyle w:val="Default"/>
              <w:spacing w:after="60"/>
              <w:rPr>
                <w:rFonts w:asciiTheme="minorHAnsi" w:hAnsiTheme="minorHAnsi" w:cstheme="minorBidi"/>
                <w:i/>
                <w:color w:val="auto"/>
                <w:sz w:val="20"/>
                <w:szCs w:val="20"/>
              </w:rPr>
            </w:pPr>
            <w:r w:rsidRPr="00BF46FB">
              <w:rPr>
                <w:rFonts w:asciiTheme="minorHAnsi" w:hAnsiTheme="minorHAnsi" w:cstheme="minorBidi"/>
                <w:i/>
                <w:color w:val="auto"/>
                <w:sz w:val="20"/>
                <w:szCs w:val="20"/>
              </w:rPr>
              <w:t>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r w:rsidRPr="006C5B12">
              <w:rPr>
                <w:rFonts w:asciiTheme="minorHAnsi" w:hAnsiTheme="minorHAnsi" w:cstheme="minorBidi"/>
                <w:i/>
                <w:color w:val="auto"/>
                <w:sz w:val="20"/>
                <w:szCs w:val="20"/>
              </w:rPr>
              <w:t xml:space="preserve"> </w:t>
            </w:r>
          </w:p>
        </w:tc>
      </w:tr>
      <w:tr w:rsidR="000D7002" w:rsidRPr="00D02B35" w14:paraId="16E8BC17"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43FD2310" w14:textId="51EF9321" w:rsidR="000D7002" w:rsidRPr="006C5B12" w:rsidRDefault="00FB6D9E" w:rsidP="000D7002">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0D7002" w:rsidRPr="006C5B12">
              <w:rPr>
                <w:rFonts w:asciiTheme="minorHAnsi" w:hAnsiTheme="minorHAnsi" w:cstheme="minorBidi"/>
                <w:i/>
                <w:color w:val="auto"/>
                <w:sz w:val="20"/>
                <w:szCs w:val="20"/>
              </w:rPr>
              <w:t xml:space="preserve"> 18.5</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613705DC" w14:textId="72A12128" w:rsidR="000D7002" w:rsidRPr="006C5B12" w:rsidRDefault="00FB6D9E" w:rsidP="000D7002">
            <w:pPr>
              <w:pStyle w:val="Default"/>
              <w:spacing w:after="60"/>
              <w:rPr>
                <w:rFonts w:asciiTheme="minorHAnsi" w:hAnsiTheme="minorHAnsi" w:cstheme="minorBidi"/>
                <w:i/>
                <w:color w:val="auto"/>
                <w:sz w:val="20"/>
                <w:szCs w:val="20"/>
              </w:rPr>
            </w:pPr>
            <w:r w:rsidRPr="00BF46FB">
              <w:rPr>
                <w:rFonts w:asciiTheme="minorHAnsi" w:hAnsiTheme="minorHAnsi" w:cstheme="minorBidi"/>
                <w:i/>
                <w:color w:val="auto"/>
                <w:sz w:val="20"/>
                <w:szCs w:val="20"/>
              </w:rPr>
              <w:t>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r w:rsidRPr="006C5B12">
              <w:rPr>
                <w:rFonts w:asciiTheme="minorHAnsi" w:hAnsiTheme="minorHAnsi" w:cstheme="minorBidi"/>
                <w:i/>
                <w:color w:val="auto"/>
                <w:sz w:val="20"/>
                <w:szCs w:val="20"/>
              </w:rPr>
              <w:t xml:space="preserve"> </w:t>
            </w:r>
          </w:p>
        </w:tc>
      </w:tr>
      <w:tr w:rsidR="000D7002" w:rsidRPr="00D02B35" w14:paraId="131697CD"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2D5BA605" w14:textId="687AFAA5" w:rsidR="000D7002" w:rsidRPr="006C5B12" w:rsidRDefault="00FB6D9E" w:rsidP="000D7002">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0D7002" w:rsidRPr="006C5B12">
              <w:rPr>
                <w:rFonts w:asciiTheme="minorHAnsi" w:hAnsiTheme="minorHAnsi" w:cstheme="minorBidi"/>
                <w:i/>
                <w:color w:val="auto"/>
                <w:sz w:val="20"/>
                <w:szCs w:val="20"/>
              </w:rPr>
              <w:t xml:space="preserve"> 18.6</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2FFCDF7D" w14:textId="7DB56E65" w:rsidR="000D7002" w:rsidRPr="006C5B12" w:rsidRDefault="00FB6D9E" w:rsidP="000D7002">
            <w:pPr>
              <w:pStyle w:val="Default"/>
              <w:spacing w:after="60"/>
              <w:rPr>
                <w:rFonts w:asciiTheme="minorHAnsi" w:hAnsiTheme="minorHAnsi" w:cstheme="minorBidi"/>
                <w:i/>
                <w:color w:val="auto"/>
                <w:sz w:val="20"/>
                <w:szCs w:val="20"/>
              </w:rPr>
            </w:pPr>
            <w:r w:rsidRPr="00BF46FB">
              <w:rPr>
                <w:rFonts w:asciiTheme="minorHAnsi" w:hAnsiTheme="minorHAnsi" w:cstheme="minorBidi"/>
                <w:i/>
                <w:color w:val="auto"/>
                <w:sz w:val="20"/>
                <w:szCs w:val="20"/>
              </w:rPr>
              <w:t>Terminals and connectors to the electricity, gas or hydraulic and pneumatic energy supplies which the user or other person has to handle shall be designed and constructed in such a way as to minimise all possible risks.</w:t>
            </w:r>
            <w:r w:rsidRPr="006C5B12">
              <w:rPr>
                <w:rFonts w:asciiTheme="minorHAnsi" w:hAnsiTheme="minorHAnsi" w:cstheme="minorBidi"/>
                <w:i/>
                <w:color w:val="auto"/>
                <w:sz w:val="20"/>
                <w:szCs w:val="20"/>
              </w:rPr>
              <w:t xml:space="preserve"> </w:t>
            </w:r>
          </w:p>
        </w:tc>
      </w:tr>
      <w:tr w:rsidR="000D7002" w:rsidRPr="00D02B35" w14:paraId="2A3056D1" w14:textId="77777777" w:rsidTr="00776F4D">
        <w:trPr>
          <w:trHeight w:val="618"/>
        </w:trPr>
        <w:tc>
          <w:tcPr>
            <w:tcW w:w="1413" w:type="dxa"/>
            <w:tcBorders>
              <w:top w:val="single" w:sz="4" w:space="0" w:color="auto"/>
              <w:left w:val="single" w:sz="4" w:space="0" w:color="auto"/>
              <w:bottom w:val="single" w:sz="4" w:space="0" w:color="auto"/>
              <w:right w:val="single" w:sz="4" w:space="0" w:color="auto"/>
            </w:tcBorders>
          </w:tcPr>
          <w:p w14:paraId="458653A2" w14:textId="384DFFDC" w:rsidR="000D7002" w:rsidRPr="006C5B12" w:rsidRDefault="00FB6D9E" w:rsidP="000D7002">
            <w:pPr>
              <w:pStyle w:val="Default"/>
              <w:spacing w:after="60"/>
              <w:jc w:val="right"/>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0D7002" w:rsidRPr="006C5B12">
              <w:rPr>
                <w:rFonts w:asciiTheme="minorHAnsi" w:hAnsiTheme="minorHAnsi" w:cstheme="minorBidi"/>
                <w:i/>
                <w:color w:val="auto"/>
                <w:sz w:val="20"/>
                <w:szCs w:val="20"/>
              </w:rPr>
              <w:t xml:space="preserve"> 18.7</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1A231C99" w14:textId="57AFCB49" w:rsidR="00BF46FB" w:rsidRDefault="00BF46FB" w:rsidP="000D7002">
            <w:pPr>
              <w:pStyle w:val="Default"/>
              <w:spacing w:after="60"/>
              <w:rPr>
                <w:rFonts w:asciiTheme="minorHAnsi" w:hAnsiTheme="minorHAnsi" w:cstheme="minorBidi"/>
                <w:i/>
                <w:color w:val="auto"/>
                <w:sz w:val="20"/>
                <w:szCs w:val="20"/>
              </w:rPr>
            </w:pPr>
            <w:r w:rsidRPr="00BF46FB">
              <w:rPr>
                <w:rFonts w:asciiTheme="minorHAnsi" w:hAnsiTheme="minorHAnsi" w:cstheme="minorBidi"/>
                <w:i/>
                <w:color w:val="auto"/>
                <w:sz w:val="20"/>
                <w:szCs w:val="20"/>
              </w:rPr>
              <w:t>Errors likely to be made when fitting or refitting certain parts</w:t>
            </w:r>
            <w:r w:rsidR="00B06950">
              <w:rPr>
                <w:rFonts w:asciiTheme="minorHAnsi" w:hAnsiTheme="minorHAnsi" w:cstheme="minorBidi"/>
                <w:i/>
                <w:color w:val="auto"/>
                <w:sz w:val="20"/>
                <w:szCs w:val="20"/>
              </w:rPr>
              <w:t>,</w:t>
            </w:r>
            <w:r w:rsidRPr="00BF46FB">
              <w:rPr>
                <w:rFonts w:asciiTheme="minorHAnsi" w:hAnsiTheme="minorHAnsi" w:cstheme="minorBidi"/>
                <w:i/>
                <w:color w:val="auto"/>
                <w:sz w:val="20"/>
                <w:szCs w:val="20"/>
              </w:rPr>
              <w:t xml:space="preserve"> which could be a source of risk</w:t>
            </w:r>
            <w:r w:rsidR="00B06950">
              <w:rPr>
                <w:rFonts w:asciiTheme="minorHAnsi" w:hAnsiTheme="minorHAnsi" w:cstheme="minorBidi"/>
                <w:i/>
                <w:color w:val="auto"/>
                <w:sz w:val="20"/>
                <w:szCs w:val="20"/>
              </w:rPr>
              <w:t>,</w:t>
            </w:r>
            <w:r w:rsidRPr="00BF46FB">
              <w:rPr>
                <w:rFonts w:asciiTheme="minorHAnsi" w:hAnsiTheme="minorHAnsi" w:cstheme="minorBidi"/>
                <w:i/>
                <w:color w:val="auto"/>
                <w:sz w:val="20"/>
                <w:szCs w:val="20"/>
              </w:rPr>
              <w:t xml:space="preserve"> shall be made impossible by the design and construction of such parts or, failing this, by information given on the parts themselves and/or their housings.</w:t>
            </w:r>
            <w:r w:rsidRPr="006C5B12">
              <w:rPr>
                <w:rFonts w:asciiTheme="minorHAnsi" w:hAnsiTheme="minorHAnsi" w:cstheme="minorBidi"/>
                <w:i/>
                <w:color w:val="auto"/>
                <w:sz w:val="20"/>
                <w:szCs w:val="20"/>
              </w:rPr>
              <w:t xml:space="preserve"> </w:t>
            </w:r>
          </w:p>
          <w:p w14:paraId="4D434EBC" w14:textId="5D7323BC" w:rsidR="000D7002" w:rsidRPr="006C5B12" w:rsidRDefault="00BF46FB" w:rsidP="00BF46FB">
            <w:pPr>
              <w:pStyle w:val="Default"/>
              <w:spacing w:after="60"/>
              <w:rPr>
                <w:rFonts w:asciiTheme="minorHAnsi" w:hAnsiTheme="minorHAnsi" w:cstheme="minorBidi"/>
                <w:i/>
                <w:color w:val="auto"/>
                <w:sz w:val="20"/>
                <w:szCs w:val="20"/>
              </w:rPr>
            </w:pPr>
            <w:r w:rsidRPr="00BF46FB">
              <w:rPr>
                <w:rFonts w:asciiTheme="minorHAnsi" w:hAnsiTheme="minorHAnsi" w:cstheme="minorBidi"/>
                <w:i/>
                <w:color w:val="auto"/>
                <w:sz w:val="20"/>
                <w:szCs w:val="20"/>
              </w:rPr>
              <w:t>The same information shall be given on moving parts and/or their housings where the direction of movement needs to be known in order to avoid a risk.</w:t>
            </w:r>
          </w:p>
        </w:tc>
      </w:tr>
    </w:tbl>
    <w:p w14:paraId="6F86E13B" w14:textId="76B7046E" w:rsidR="004C602B" w:rsidRPr="006C5B12" w:rsidRDefault="004C602B">
      <w:pPr>
        <w:rPr>
          <w:lang w:val="en-GB"/>
        </w:rPr>
      </w:pPr>
    </w:p>
    <w:p w14:paraId="1E9E3F58" w14:textId="77777777" w:rsidR="00A722C7" w:rsidRPr="006C5B12" w:rsidRDefault="00A722C7">
      <w:pPr>
        <w:rPr>
          <w:lang w:val="en-GB"/>
        </w:rPr>
      </w:pPr>
    </w:p>
    <w:p w14:paraId="1540D653" w14:textId="77777777" w:rsidR="00B06950" w:rsidRDefault="00B06950">
      <w:pPr>
        <w:rPr>
          <w:b/>
          <w:sz w:val="28"/>
          <w:szCs w:val="28"/>
          <w:u w:val="single"/>
          <w:lang w:val="en-GB"/>
        </w:rPr>
      </w:pPr>
      <w:r>
        <w:rPr>
          <w:b/>
          <w:sz w:val="28"/>
          <w:szCs w:val="28"/>
          <w:u w:val="single"/>
          <w:lang w:val="en-GB"/>
        </w:rPr>
        <w:br w:type="page"/>
      </w:r>
    </w:p>
    <w:p w14:paraId="6631F87A" w14:textId="0E16A190" w:rsidR="00E838BF" w:rsidRPr="006C5B12" w:rsidRDefault="00A722C7">
      <w:pPr>
        <w:rPr>
          <w:lang w:val="en-GB"/>
        </w:rPr>
      </w:pPr>
      <w:r w:rsidRPr="006C5B12">
        <w:rPr>
          <w:b/>
          <w:sz w:val="28"/>
          <w:szCs w:val="28"/>
          <w:u w:val="single"/>
          <w:lang w:val="en-GB"/>
        </w:rPr>
        <w:lastRenderedPageBreak/>
        <w:t>An</w:t>
      </w:r>
      <w:r w:rsidR="00BF46FB">
        <w:rPr>
          <w:b/>
          <w:sz w:val="28"/>
          <w:szCs w:val="28"/>
          <w:u w:val="single"/>
          <w:lang w:val="en-GB"/>
        </w:rPr>
        <w:t>nex</w:t>
      </w:r>
      <w:r w:rsidRPr="006C5B12">
        <w:rPr>
          <w:b/>
          <w:sz w:val="28"/>
          <w:szCs w:val="28"/>
          <w:u w:val="single"/>
          <w:lang w:val="en-GB"/>
        </w:rPr>
        <w:t xml:space="preserve"> 4</w:t>
      </w:r>
    </w:p>
    <w:p w14:paraId="433CC975" w14:textId="0AC1DF5B" w:rsidR="00E838BF" w:rsidRPr="006C5B12" w:rsidRDefault="00DE6837" w:rsidP="0072608A">
      <w:pPr>
        <w:pStyle w:val="berschrift1"/>
        <w:numPr>
          <w:ilvl w:val="0"/>
          <w:numId w:val="0"/>
        </w:numPr>
        <w:rPr>
          <w:lang w:val="en-GB"/>
        </w:rPr>
      </w:pPr>
      <w:r>
        <w:rPr>
          <w:lang w:val="en-GB"/>
        </w:rPr>
        <w:t>E</w:t>
      </w:r>
      <w:r w:rsidR="00BF46FB">
        <w:rPr>
          <w:lang w:val="en-GB"/>
        </w:rPr>
        <w:t xml:space="preserve">xample </w:t>
      </w:r>
      <w:r w:rsidR="0063702D">
        <w:rPr>
          <w:lang w:val="en-GB"/>
        </w:rPr>
        <w:t>of</w:t>
      </w:r>
      <w:r w:rsidR="00BF46FB">
        <w:rPr>
          <w:lang w:val="en-GB"/>
        </w:rPr>
        <w:t xml:space="preserve"> performing a risk analysis and risk assessment in </w:t>
      </w:r>
      <w:r w:rsidR="000E5AE1">
        <w:rPr>
          <w:lang w:val="en-GB"/>
        </w:rPr>
        <w:t>medical</w:t>
      </w:r>
      <w:r w:rsidR="00BF46FB">
        <w:rPr>
          <w:lang w:val="en-GB"/>
        </w:rPr>
        <w:t xml:space="preserve"> laboratories </w:t>
      </w:r>
    </w:p>
    <w:p w14:paraId="5E07E49B" w14:textId="77777777" w:rsidR="00A722C7" w:rsidRPr="006C5B12" w:rsidRDefault="00A722C7" w:rsidP="001F2DAB">
      <w:pPr>
        <w:jc w:val="both"/>
        <w:rPr>
          <w:lang w:val="en-GB"/>
        </w:rPr>
      </w:pPr>
    </w:p>
    <w:p w14:paraId="1F8AD416" w14:textId="314AA5F7" w:rsidR="00F80F8D" w:rsidRPr="006C5B12" w:rsidRDefault="000E5AE1" w:rsidP="00F80F8D">
      <w:pPr>
        <w:jc w:val="both"/>
        <w:rPr>
          <w:lang w:val="en-GB"/>
        </w:rPr>
      </w:pPr>
      <w:r w:rsidRPr="000E5AE1">
        <w:rPr>
          <w:lang w:val="en-GB"/>
        </w:rPr>
        <w:t xml:space="preserve">The risk analysis presented below </w:t>
      </w:r>
      <w:r w:rsidR="00DE6837">
        <w:rPr>
          <w:lang w:val="en-GB"/>
        </w:rPr>
        <w:t>utilises</w:t>
      </w:r>
      <w:r w:rsidRPr="000E5AE1">
        <w:rPr>
          <w:lang w:val="en-GB"/>
        </w:rPr>
        <w:t xml:space="preserve"> a </w:t>
      </w:r>
      <w:r>
        <w:rPr>
          <w:lang w:val="en-GB"/>
        </w:rPr>
        <w:t>f</w:t>
      </w:r>
      <w:r w:rsidRPr="000E5AE1">
        <w:rPr>
          <w:lang w:val="en-GB"/>
        </w:rPr>
        <w:t xml:space="preserve">ailure </w:t>
      </w:r>
      <w:r>
        <w:rPr>
          <w:lang w:val="en-GB"/>
        </w:rPr>
        <w:t>m</w:t>
      </w:r>
      <w:r w:rsidRPr="000E5AE1">
        <w:rPr>
          <w:lang w:val="en-GB"/>
        </w:rPr>
        <w:t xml:space="preserve">ode and </w:t>
      </w:r>
      <w:r>
        <w:rPr>
          <w:lang w:val="en-GB"/>
        </w:rPr>
        <w:t>e</w:t>
      </w:r>
      <w:r w:rsidRPr="000E5AE1">
        <w:rPr>
          <w:lang w:val="en-GB"/>
        </w:rPr>
        <w:t xml:space="preserve">ffects </w:t>
      </w:r>
      <w:r>
        <w:rPr>
          <w:lang w:val="en-GB"/>
        </w:rPr>
        <w:t>a</w:t>
      </w:r>
      <w:r w:rsidRPr="000E5AE1">
        <w:rPr>
          <w:lang w:val="en-GB"/>
        </w:rPr>
        <w:t>nalysis (FMEA)</w:t>
      </w:r>
      <w:r w:rsidR="00B06950">
        <w:rPr>
          <w:lang w:val="en-GB"/>
        </w:rPr>
        <w:t xml:space="preserve">. It </w:t>
      </w:r>
      <w:r w:rsidRPr="000E5AE1">
        <w:rPr>
          <w:lang w:val="en-GB"/>
        </w:rPr>
        <w:t>is based on the following factors</w:t>
      </w:r>
      <w:r w:rsidR="00DE6837">
        <w:rPr>
          <w:lang w:val="en-GB"/>
        </w:rPr>
        <w:t>,</w:t>
      </w:r>
      <w:r w:rsidRPr="000E5AE1">
        <w:rPr>
          <w:lang w:val="en-GB"/>
        </w:rPr>
        <w:t xml:space="preserve"> </w:t>
      </w:r>
      <w:r w:rsidR="00B06950">
        <w:rPr>
          <w:lang w:val="en-GB"/>
        </w:rPr>
        <w:t xml:space="preserve">which are </w:t>
      </w:r>
      <w:r w:rsidRPr="000E5AE1">
        <w:rPr>
          <w:lang w:val="en-GB"/>
        </w:rPr>
        <w:t>classified as follows:</w:t>
      </w:r>
    </w:p>
    <w:p w14:paraId="2BF71A79" w14:textId="0F1654F0" w:rsidR="00F80F8D" w:rsidRPr="006C5B12" w:rsidRDefault="000E5AE1" w:rsidP="00F80F8D">
      <w:pPr>
        <w:spacing w:after="0"/>
        <w:rPr>
          <w:sz w:val="18"/>
          <w:szCs w:val="18"/>
          <w:lang w:val="en-GB"/>
        </w:rPr>
      </w:pPr>
      <w:r>
        <w:rPr>
          <w:sz w:val="18"/>
          <w:szCs w:val="18"/>
          <w:lang w:val="en-GB"/>
        </w:rPr>
        <w:t>Probability</w:t>
      </w:r>
      <w:r w:rsidR="009C7466">
        <w:rPr>
          <w:sz w:val="18"/>
          <w:szCs w:val="18"/>
          <w:lang w:val="en-GB"/>
        </w:rPr>
        <w:t xml:space="preserve"> of occurrence</w:t>
      </w:r>
      <w:r w:rsidR="00F80F8D" w:rsidRPr="006C5B12">
        <w:rPr>
          <w:sz w:val="18"/>
          <w:szCs w:val="18"/>
          <w:lang w:val="en-GB"/>
        </w:rPr>
        <w:t xml:space="preserve"> [</w:t>
      </w:r>
      <w:r>
        <w:rPr>
          <w:sz w:val="18"/>
          <w:szCs w:val="18"/>
          <w:lang w:val="en-GB"/>
        </w:rPr>
        <w:t>P</w:t>
      </w:r>
      <w:r w:rsidR="00F80F8D" w:rsidRPr="006C5B12">
        <w:rPr>
          <w:sz w:val="18"/>
          <w:szCs w:val="18"/>
          <w:lang w:val="en-GB"/>
        </w:rPr>
        <w:t>]</w:t>
      </w:r>
    </w:p>
    <w:tbl>
      <w:tblPr>
        <w:tblStyle w:val="Tabellenraster"/>
        <w:tblW w:w="0" w:type="auto"/>
        <w:tblLook w:val="04A0" w:firstRow="1" w:lastRow="0" w:firstColumn="1" w:lastColumn="0" w:noHBand="0" w:noVBand="1"/>
      </w:tblPr>
      <w:tblGrid>
        <w:gridCol w:w="1696"/>
        <w:gridCol w:w="1843"/>
      </w:tblGrid>
      <w:tr w:rsidR="00F80F8D" w:rsidRPr="006C5B12" w14:paraId="1D223B32" w14:textId="77777777" w:rsidTr="00F80F8D">
        <w:tc>
          <w:tcPr>
            <w:tcW w:w="1696" w:type="dxa"/>
          </w:tcPr>
          <w:p w14:paraId="41BF5C90" w14:textId="6F9080BB" w:rsidR="00F80F8D" w:rsidRPr="006C5B12" w:rsidRDefault="00C857C9" w:rsidP="00F80F8D">
            <w:pPr>
              <w:rPr>
                <w:b/>
                <w:sz w:val="18"/>
                <w:szCs w:val="18"/>
                <w:lang w:val="en-GB"/>
              </w:rPr>
            </w:pPr>
            <w:r>
              <w:rPr>
                <w:b/>
                <w:sz w:val="18"/>
                <w:szCs w:val="18"/>
                <w:lang w:val="en-GB"/>
              </w:rPr>
              <w:t>Score</w:t>
            </w:r>
          </w:p>
        </w:tc>
        <w:tc>
          <w:tcPr>
            <w:tcW w:w="1843" w:type="dxa"/>
          </w:tcPr>
          <w:p w14:paraId="654EDA86" w14:textId="63925568" w:rsidR="00F80F8D" w:rsidRPr="006C5B12" w:rsidRDefault="00C857C9" w:rsidP="00F80F8D">
            <w:pPr>
              <w:rPr>
                <w:b/>
                <w:sz w:val="18"/>
                <w:szCs w:val="18"/>
                <w:lang w:val="en-GB"/>
              </w:rPr>
            </w:pPr>
            <w:r>
              <w:rPr>
                <w:b/>
                <w:sz w:val="18"/>
                <w:szCs w:val="18"/>
                <w:lang w:val="en-GB"/>
              </w:rPr>
              <w:t>Classification</w:t>
            </w:r>
          </w:p>
        </w:tc>
      </w:tr>
      <w:tr w:rsidR="00F80F8D" w:rsidRPr="006C5B12" w14:paraId="30FE4E62" w14:textId="77777777" w:rsidTr="00F80F8D">
        <w:tc>
          <w:tcPr>
            <w:tcW w:w="1696" w:type="dxa"/>
          </w:tcPr>
          <w:p w14:paraId="4545B1F3" w14:textId="77777777" w:rsidR="00F80F8D" w:rsidRPr="006C5B12" w:rsidRDefault="00F80F8D" w:rsidP="00F80F8D">
            <w:pPr>
              <w:rPr>
                <w:sz w:val="18"/>
                <w:szCs w:val="18"/>
                <w:lang w:val="en-GB"/>
              </w:rPr>
            </w:pPr>
            <w:r w:rsidRPr="006C5B12">
              <w:rPr>
                <w:sz w:val="18"/>
                <w:szCs w:val="18"/>
                <w:lang w:val="en-GB"/>
              </w:rPr>
              <w:t>1</w:t>
            </w:r>
          </w:p>
        </w:tc>
        <w:tc>
          <w:tcPr>
            <w:tcW w:w="1843" w:type="dxa"/>
          </w:tcPr>
          <w:p w14:paraId="1DC88761" w14:textId="6F8C41A9" w:rsidR="00F80F8D" w:rsidRPr="006C5B12" w:rsidRDefault="009C7466" w:rsidP="00F80F8D">
            <w:pPr>
              <w:rPr>
                <w:sz w:val="18"/>
                <w:szCs w:val="18"/>
                <w:lang w:val="en-GB"/>
              </w:rPr>
            </w:pPr>
            <w:r>
              <w:rPr>
                <w:sz w:val="18"/>
                <w:szCs w:val="18"/>
                <w:lang w:val="en-GB"/>
              </w:rPr>
              <w:t>U</w:t>
            </w:r>
            <w:r w:rsidR="000E5AE1">
              <w:rPr>
                <w:sz w:val="18"/>
                <w:szCs w:val="18"/>
                <w:lang w:val="en-GB"/>
              </w:rPr>
              <w:t>nlikely</w:t>
            </w:r>
          </w:p>
        </w:tc>
      </w:tr>
      <w:tr w:rsidR="00F80F8D" w:rsidRPr="006C5B12" w14:paraId="48887C38" w14:textId="77777777" w:rsidTr="00F80F8D">
        <w:tc>
          <w:tcPr>
            <w:tcW w:w="1696" w:type="dxa"/>
          </w:tcPr>
          <w:p w14:paraId="2711DDA5" w14:textId="77777777" w:rsidR="00F80F8D" w:rsidRPr="006C5B12" w:rsidRDefault="00F80F8D" w:rsidP="00F80F8D">
            <w:pPr>
              <w:rPr>
                <w:sz w:val="18"/>
                <w:szCs w:val="18"/>
                <w:lang w:val="en-GB"/>
              </w:rPr>
            </w:pPr>
            <w:r w:rsidRPr="006C5B12">
              <w:rPr>
                <w:sz w:val="18"/>
                <w:szCs w:val="18"/>
                <w:lang w:val="en-GB"/>
              </w:rPr>
              <w:t>2</w:t>
            </w:r>
          </w:p>
        </w:tc>
        <w:tc>
          <w:tcPr>
            <w:tcW w:w="1843" w:type="dxa"/>
          </w:tcPr>
          <w:p w14:paraId="7370C6D3" w14:textId="452555DE" w:rsidR="00F80F8D" w:rsidRPr="006C5B12" w:rsidRDefault="009C7466" w:rsidP="00F80F8D">
            <w:pPr>
              <w:rPr>
                <w:sz w:val="18"/>
                <w:szCs w:val="18"/>
                <w:lang w:val="en-GB"/>
              </w:rPr>
            </w:pPr>
            <w:r>
              <w:rPr>
                <w:sz w:val="18"/>
                <w:szCs w:val="18"/>
                <w:lang w:val="en-GB"/>
              </w:rPr>
              <w:t>O</w:t>
            </w:r>
            <w:r w:rsidR="000E5AE1">
              <w:rPr>
                <w:sz w:val="18"/>
                <w:szCs w:val="18"/>
                <w:lang w:val="en-GB"/>
              </w:rPr>
              <w:t>ccasional</w:t>
            </w:r>
          </w:p>
        </w:tc>
      </w:tr>
      <w:tr w:rsidR="00F80F8D" w:rsidRPr="006C5B12" w14:paraId="5D7CF0C1" w14:textId="77777777" w:rsidTr="00F80F8D">
        <w:tc>
          <w:tcPr>
            <w:tcW w:w="1696" w:type="dxa"/>
          </w:tcPr>
          <w:p w14:paraId="37125C04" w14:textId="77777777" w:rsidR="00F80F8D" w:rsidRPr="006C5B12" w:rsidRDefault="00F80F8D" w:rsidP="00F80F8D">
            <w:pPr>
              <w:rPr>
                <w:sz w:val="18"/>
                <w:szCs w:val="18"/>
                <w:lang w:val="en-GB"/>
              </w:rPr>
            </w:pPr>
            <w:r w:rsidRPr="006C5B12">
              <w:rPr>
                <w:sz w:val="18"/>
                <w:szCs w:val="18"/>
                <w:lang w:val="en-GB"/>
              </w:rPr>
              <w:t>3</w:t>
            </w:r>
          </w:p>
        </w:tc>
        <w:tc>
          <w:tcPr>
            <w:tcW w:w="1843" w:type="dxa"/>
          </w:tcPr>
          <w:p w14:paraId="5660DFF7" w14:textId="197363EE" w:rsidR="00F80F8D" w:rsidRPr="006C5B12" w:rsidRDefault="009C7466" w:rsidP="00F80F8D">
            <w:pPr>
              <w:rPr>
                <w:sz w:val="18"/>
                <w:szCs w:val="18"/>
                <w:lang w:val="en-GB"/>
              </w:rPr>
            </w:pPr>
            <w:r>
              <w:rPr>
                <w:sz w:val="18"/>
                <w:szCs w:val="18"/>
                <w:lang w:val="en-GB"/>
              </w:rPr>
              <w:t>F</w:t>
            </w:r>
            <w:r w:rsidR="000E5AE1">
              <w:rPr>
                <w:sz w:val="18"/>
                <w:szCs w:val="18"/>
                <w:lang w:val="en-GB"/>
              </w:rPr>
              <w:t>requent</w:t>
            </w:r>
          </w:p>
        </w:tc>
      </w:tr>
    </w:tbl>
    <w:p w14:paraId="1D2CF6C7" w14:textId="77777777" w:rsidR="00F80F8D" w:rsidRPr="006C5B12" w:rsidRDefault="00F80F8D" w:rsidP="00F80F8D">
      <w:pPr>
        <w:spacing w:after="0"/>
        <w:rPr>
          <w:sz w:val="18"/>
          <w:szCs w:val="18"/>
          <w:lang w:val="en-GB"/>
        </w:rPr>
      </w:pPr>
    </w:p>
    <w:p w14:paraId="610401E3" w14:textId="04AD352B" w:rsidR="00F80F8D" w:rsidRPr="006C5B12" w:rsidRDefault="009C7466" w:rsidP="00F80F8D">
      <w:pPr>
        <w:spacing w:after="0"/>
        <w:rPr>
          <w:sz w:val="18"/>
          <w:szCs w:val="18"/>
          <w:lang w:val="en-GB"/>
        </w:rPr>
      </w:pPr>
      <w:r>
        <w:rPr>
          <w:sz w:val="18"/>
          <w:szCs w:val="18"/>
          <w:lang w:val="en-GB"/>
        </w:rPr>
        <w:t>Probability of detection</w:t>
      </w:r>
      <w:r w:rsidR="00F80F8D" w:rsidRPr="006C5B12">
        <w:rPr>
          <w:sz w:val="18"/>
          <w:szCs w:val="18"/>
          <w:lang w:val="en-GB"/>
        </w:rPr>
        <w:t xml:space="preserve"> [</w:t>
      </w:r>
      <w:r>
        <w:rPr>
          <w:sz w:val="18"/>
          <w:szCs w:val="18"/>
          <w:lang w:val="en-GB"/>
        </w:rPr>
        <w:t>D</w:t>
      </w:r>
      <w:r w:rsidR="00F80F8D" w:rsidRPr="006C5B12">
        <w:rPr>
          <w:sz w:val="18"/>
          <w:szCs w:val="18"/>
          <w:lang w:val="en-GB"/>
        </w:rPr>
        <w:t>]</w:t>
      </w:r>
    </w:p>
    <w:tbl>
      <w:tblPr>
        <w:tblStyle w:val="Tabellenraster"/>
        <w:tblW w:w="0" w:type="auto"/>
        <w:tblLook w:val="04A0" w:firstRow="1" w:lastRow="0" w:firstColumn="1" w:lastColumn="0" w:noHBand="0" w:noVBand="1"/>
      </w:tblPr>
      <w:tblGrid>
        <w:gridCol w:w="1696"/>
        <w:gridCol w:w="3686"/>
      </w:tblGrid>
      <w:tr w:rsidR="00F80F8D" w:rsidRPr="006C5B12" w14:paraId="6A678808" w14:textId="77777777" w:rsidTr="00F80F8D">
        <w:tc>
          <w:tcPr>
            <w:tcW w:w="1696" w:type="dxa"/>
          </w:tcPr>
          <w:p w14:paraId="71C95A3F" w14:textId="7BF0A311" w:rsidR="00F80F8D" w:rsidRPr="006C5B12" w:rsidRDefault="00C857C9" w:rsidP="00F80F8D">
            <w:pPr>
              <w:rPr>
                <w:b/>
                <w:sz w:val="18"/>
                <w:szCs w:val="18"/>
                <w:lang w:val="en-GB"/>
              </w:rPr>
            </w:pPr>
            <w:r>
              <w:rPr>
                <w:b/>
                <w:sz w:val="18"/>
                <w:szCs w:val="18"/>
                <w:lang w:val="en-GB"/>
              </w:rPr>
              <w:t>Score</w:t>
            </w:r>
          </w:p>
        </w:tc>
        <w:tc>
          <w:tcPr>
            <w:tcW w:w="3686" w:type="dxa"/>
          </w:tcPr>
          <w:p w14:paraId="54981B98" w14:textId="2CBA7345" w:rsidR="00F80F8D" w:rsidRPr="006C5B12" w:rsidRDefault="00C857C9" w:rsidP="00F80F8D">
            <w:pPr>
              <w:rPr>
                <w:b/>
                <w:sz w:val="18"/>
                <w:szCs w:val="18"/>
                <w:lang w:val="en-GB"/>
              </w:rPr>
            </w:pPr>
            <w:r>
              <w:rPr>
                <w:b/>
                <w:sz w:val="18"/>
                <w:szCs w:val="18"/>
                <w:lang w:val="en-GB"/>
              </w:rPr>
              <w:t>Classification</w:t>
            </w:r>
          </w:p>
        </w:tc>
      </w:tr>
      <w:tr w:rsidR="00F80F8D" w:rsidRPr="00D02B35" w14:paraId="697F64C7" w14:textId="77777777" w:rsidTr="00F80F8D">
        <w:tc>
          <w:tcPr>
            <w:tcW w:w="1696" w:type="dxa"/>
          </w:tcPr>
          <w:p w14:paraId="20DA97BD" w14:textId="77777777" w:rsidR="00F80F8D" w:rsidRPr="006C5B12" w:rsidRDefault="00F80F8D" w:rsidP="00F80F8D">
            <w:pPr>
              <w:rPr>
                <w:sz w:val="18"/>
                <w:szCs w:val="18"/>
                <w:lang w:val="en-GB"/>
              </w:rPr>
            </w:pPr>
            <w:r w:rsidRPr="006C5B12">
              <w:rPr>
                <w:sz w:val="18"/>
                <w:szCs w:val="18"/>
                <w:lang w:val="en-GB"/>
              </w:rPr>
              <w:t>1</w:t>
            </w:r>
          </w:p>
        </w:tc>
        <w:tc>
          <w:tcPr>
            <w:tcW w:w="3686" w:type="dxa"/>
          </w:tcPr>
          <w:p w14:paraId="7CFBF8A9" w14:textId="63CD1852" w:rsidR="00F80F8D" w:rsidRPr="006C5B12" w:rsidRDefault="009C7466" w:rsidP="00F80F8D">
            <w:pPr>
              <w:rPr>
                <w:sz w:val="18"/>
                <w:szCs w:val="18"/>
                <w:lang w:val="en-GB"/>
              </w:rPr>
            </w:pPr>
            <w:r>
              <w:rPr>
                <w:sz w:val="18"/>
                <w:szCs w:val="18"/>
                <w:lang w:val="en-GB"/>
              </w:rPr>
              <w:t xml:space="preserve">High, certain to be detected </w:t>
            </w:r>
          </w:p>
        </w:tc>
      </w:tr>
      <w:tr w:rsidR="00F80F8D" w:rsidRPr="00D02B35" w14:paraId="20B45B24" w14:textId="77777777" w:rsidTr="00F80F8D">
        <w:tc>
          <w:tcPr>
            <w:tcW w:w="1696" w:type="dxa"/>
          </w:tcPr>
          <w:p w14:paraId="574A0A05" w14:textId="77777777" w:rsidR="00F80F8D" w:rsidRPr="006C5B12" w:rsidRDefault="00F80F8D" w:rsidP="00F80F8D">
            <w:pPr>
              <w:rPr>
                <w:sz w:val="18"/>
                <w:szCs w:val="18"/>
                <w:lang w:val="en-GB"/>
              </w:rPr>
            </w:pPr>
            <w:r w:rsidRPr="006C5B12">
              <w:rPr>
                <w:sz w:val="18"/>
                <w:szCs w:val="18"/>
                <w:lang w:val="en-GB"/>
              </w:rPr>
              <w:t>2</w:t>
            </w:r>
          </w:p>
        </w:tc>
        <w:tc>
          <w:tcPr>
            <w:tcW w:w="3686" w:type="dxa"/>
          </w:tcPr>
          <w:p w14:paraId="4E6F58F4" w14:textId="4B838EB7" w:rsidR="00F80F8D" w:rsidRPr="006C5B12" w:rsidRDefault="009C7466" w:rsidP="00F80F8D">
            <w:pPr>
              <w:rPr>
                <w:sz w:val="18"/>
                <w:szCs w:val="18"/>
                <w:lang w:val="en-GB"/>
              </w:rPr>
            </w:pPr>
            <w:r>
              <w:rPr>
                <w:sz w:val="18"/>
                <w:szCs w:val="18"/>
                <w:lang w:val="en-GB"/>
              </w:rPr>
              <w:t>Moderate</w:t>
            </w:r>
            <w:r w:rsidR="00F80F8D" w:rsidRPr="006C5B12">
              <w:rPr>
                <w:sz w:val="18"/>
                <w:szCs w:val="18"/>
                <w:lang w:val="en-GB"/>
              </w:rPr>
              <w:t xml:space="preserve">, </w:t>
            </w:r>
            <w:r>
              <w:rPr>
                <w:sz w:val="18"/>
                <w:szCs w:val="18"/>
                <w:lang w:val="en-GB"/>
              </w:rPr>
              <w:t xml:space="preserve">will probably be detected </w:t>
            </w:r>
          </w:p>
        </w:tc>
      </w:tr>
      <w:tr w:rsidR="00F80F8D" w:rsidRPr="00D02B35" w14:paraId="12CD8C22" w14:textId="77777777" w:rsidTr="00F80F8D">
        <w:tc>
          <w:tcPr>
            <w:tcW w:w="1696" w:type="dxa"/>
          </w:tcPr>
          <w:p w14:paraId="42192708" w14:textId="77777777" w:rsidR="00F80F8D" w:rsidRPr="006C5B12" w:rsidRDefault="00F80F8D" w:rsidP="00F80F8D">
            <w:pPr>
              <w:rPr>
                <w:sz w:val="18"/>
                <w:szCs w:val="18"/>
                <w:lang w:val="en-GB"/>
              </w:rPr>
            </w:pPr>
            <w:r w:rsidRPr="006C5B12">
              <w:rPr>
                <w:sz w:val="18"/>
                <w:szCs w:val="18"/>
                <w:lang w:val="en-GB"/>
              </w:rPr>
              <w:t>3</w:t>
            </w:r>
          </w:p>
        </w:tc>
        <w:tc>
          <w:tcPr>
            <w:tcW w:w="3686" w:type="dxa"/>
          </w:tcPr>
          <w:p w14:paraId="59FB2529" w14:textId="4566A66E" w:rsidR="00F80F8D" w:rsidRPr="006C5B12" w:rsidRDefault="009C7466" w:rsidP="00F80F8D">
            <w:pPr>
              <w:rPr>
                <w:sz w:val="18"/>
                <w:szCs w:val="18"/>
                <w:lang w:val="en-GB"/>
              </w:rPr>
            </w:pPr>
            <w:r>
              <w:rPr>
                <w:sz w:val="18"/>
                <w:szCs w:val="18"/>
                <w:lang w:val="en-GB"/>
              </w:rPr>
              <w:t>Low</w:t>
            </w:r>
            <w:r w:rsidR="00F80F8D" w:rsidRPr="006C5B12">
              <w:rPr>
                <w:sz w:val="18"/>
                <w:szCs w:val="18"/>
                <w:lang w:val="en-GB"/>
              </w:rPr>
              <w:t xml:space="preserve">, </w:t>
            </w:r>
            <w:r>
              <w:rPr>
                <w:sz w:val="18"/>
                <w:szCs w:val="18"/>
                <w:lang w:val="en-GB"/>
              </w:rPr>
              <w:t xml:space="preserve">will probably not be detected </w:t>
            </w:r>
          </w:p>
        </w:tc>
      </w:tr>
    </w:tbl>
    <w:p w14:paraId="7285BFF4" w14:textId="77777777" w:rsidR="00F80F8D" w:rsidRPr="006C5B12" w:rsidRDefault="00F80F8D" w:rsidP="00F80F8D">
      <w:pPr>
        <w:spacing w:after="0"/>
        <w:rPr>
          <w:sz w:val="18"/>
          <w:szCs w:val="18"/>
          <w:lang w:val="en-GB"/>
        </w:rPr>
      </w:pPr>
    </w:p>
    <w:p w14:paraId="1021D80C" w14:textId="20863EDA" w:rsidR="00F80F8D" w:rsidRPr="006C5B12" w:rsidRDefault="009C7466" w:rsidP="00F80F8D">
      <w:pPr>
        <w:spacing w:after="0"/>
        <w:rPr>
          <w:sz w:val="18"/>
          <w:szCs w:val="18"/>
          <w:lang w:val="en-GB"/>
        </w:rPr>
      </w:pPr>
      <w:r>
        <w:rPr>
          <w:sz w:val="18"/>
          <w:szCs w:val="18"/>
          <w:lang w:val="en-GB"/>
        </w:rPr>
        <w:t>Severity of the damage</w:t>
      </w:r>
      <w:r w:rsidR="00F80F8D" w:rsidRPr="006C5B12">
        <w:rPr>
          <w:sz w:val="18"/>
          <w:szCs w:val="18"/>
          <w:lang w:val="en-GB"/>
        </w:rPr>
        <w:t xml:space="preserve"> [S]</w:t>
      </w:r>
    </w:p>
    <w:tbl>
      <w:tblPr>
        <w:tblStyle w:val="Tabellenraster"/>
        <w:tblW w:w="0" w:type="auto"/>
        <w:tblLook w:val="04A0" w:firstRow="1" w:lastRow="0" w:firstColumn="1" w:lastColumn="0" w:noHBand="0" w:noVBand="1"/>
      </w:tblPr>
      <w:tblGrid>
        <w:gridCol w:w="1696"/>
        <w:gridCol w:w="3686"/>
      </w:tblGrid>
      <w:tr w:rsidR="00F80F8D" w:rsidRPr="006C5B12" w14:paraId="00C783BF" w14:textId="77777777" w:rsidTr="00F80F8D">
        <w:tc>
          <w:tcPr>
            <w:tcW w:w="1696" w:type="dxa"/>
          </w:tcPr>
          <w:p w14:paraId="7D6A071E" w14:textId="499D9444" w:rsidR="00F80F8D" w:rsidRPr="006C5B12" w:rsidRDefault="00C857C9" w:rsidP="00F80F8D">
            <w:pPr>
              <w:rPr>
                <w:b/>
                <w:sz w:val="18"/>
                <w:szCs w:val="18"/>
                <w:lang w:val="en-GB"/>
              </w:rPr>
            </w:pPr>
            <w:r>
              <w:rPr>
                <w:b/>
                <w:sz w:val="18"/>
                <w:szCs w:val="18"/>
                <w:lang w:val="en-GB"/>
              </w:rPr>
              <w:t>Score</w:t>
            </w:r>
          </w:p>
        </w:tc>
        <w:tc>
          <w:tcPr>
            <w:tcW w:w="3686" w:type="dxa"/>
          </w:tcPr>
          <w:p w14:paraId="67A00408" w14:textId="5DB7E01E" w:rsidR="00F80F8D" w:rsidRPr="006C5B12" w:rsidRDefault="00C857C9" w:rsidP="00F80F8D">
            <w:pPr>
              <w:rPr>
                <w:b/>
                <w:sz w:val="18"/>
                <w:szCs w:val="18"/>
                <w:lang w:val="en-GB"/>
              </w:rPr>
            </w:pPr>
            <w:r>
              <w:rPr>
                <w:b/>
                <w:sz w:val="18"/>
                <w:szCs w:val="18"/>
                <w:lang w:val="en-GB"/>
              </w:rPr>
              <w:t>Classification</w:t>
            </w:r>
          </w:p>
        </w:tc>
      </w:tr>
      <w:tr w:rsidR="00F80F8D" w:rsidRPr="00D02B35" w14:paraId="4C018AF1" w14:textId="77777777" w:rsidTr="00F80F8D">
        <w:tc>
          <w:tcPr>
            <w:tcW w:w="1696" w:type="dxa"/>
          </w:tcPr>
          <w:p w14:paraId="0115EBE4" w14:textId="77777777" w:rsidR="00F80F8D" w:rsidRPr="006C5B12" w:rsidRDefault="00F80F8D" w:rsidP="00F80F8D">
            <w:pPr>
              <w:rPr>
                <w:sz w:val="18"/>
                <w:szCs w:val="18"/>
                <w:lang w:val="en-GB"/>
              </w:rPr>
            </w:pPr>
            <w:r w:rsidRPr="006C5B12">
              <w:rPr>
                <w:sz w:val="18"/>
                <w:szCs w:val="18"/>
                <w:lang w:val="en-GB"/>
              </w:rPr>
              <w:t>1</w:t>
            </w:r>
          </w:p>
        </w:tc>
        <w:tc>
          <w:tcPr>
            <w:tcW w:w="3686" w:type="dxa"/>
          </w:tcPr>
          <w:p w14:paraId="41073177" w14:textId="7E2823F4" w:rsidR="00F80F8D" w:rsidRPr="006C5B12" w:rsidRDefault="009C7466" w:rsidP="00F80F8D">
            <w:pPr>
              <w:rPr>
                <w:sz w:val="18"/>
                <w:szCs w:val="18"/>
                <w:lang w:val="en-GB"/>
              </w:rPr>
            </w:pPr>
            <w:r>
              <w:rPr>
                <w:sz w:val="18"/>
                <w:szCs w:val="18"/>
                <w:lang w:val="en-GB"/>
              </w:rPr>
              <w:t xml:space="preserve">Low, no </w:t>
            </w:r>
            <w:r w:rsidR="00C857C9">
              <w:rPr>
                <w:sz w:val="18"/>
                <w:szCs w:val="18"/>
                <w:lang w:val="en-GB"/>
              </w:rPr>
              <w:t>risk</w:t>
            </w:r>
            <w:r>
              <w:rPr>
                <w:sz w:val="18"/>
                <w:szCs w:val="18"/>
                <w:lang w:val="en-GB"/>
              </w:rPr>
              <w:t xml:space="preserve"> to patients </w:t>
            </w:r>
          </w:p>
        </w:tc>
      </w:tr>
      <w:tr w:rsidR="00F80F8D" w:rsidRPr="00D02B35" w14:paraId="5D5720C9" w14:textId="77777777" w:rsidTr="00F80F8D">
        <w:tc>
          <w:tcPr>
            <w:tcW w:w="1696" w:type="dxa"/>
          </w:tcPr>
          <w:p w14:paraId="723C0F92" w14:textId="77777777" w:rsidR="00F80F8D" w:rsidRPr="006C5B12" w:rsidRDefault="00F80F8D" w:rsidP="00F80F8D">
            <w:pPr>
              <w:rPr>
                <w:sz w:val="18"/>
                <w:szCs w:val="18"/>
                <w:lang w:val="en-GB"/>
              </w:rPr>
            </w:pPr>
            <w:r w:rsidRPr="006C5B12">
              <w:rPr>
                <w:sz w:val="18"/>
                <w:szCs w:val="18"/>
                <w:lang w:val="en-GB"/>
              </w:rPr>
              <w:t>2</w:t>
            </w:r>
          </w:p>
        </w:tc>
        <w:tc>
          <w:tcPr>
            <w:tcW w:w="3686" w:type="dxa"/>
          </w:tcPr>
          <w:p w14:paraId="052E53F2" w14:textId="3303A82C" w:rsidR="00F80F8D" w:rsidRPr="006C5B12" w:rsidRDefault="00F80F8D" w:rsidP="00F80F8D">
            <w:pPr>
              <w:rPr>
                <w:sz w:val="18"/>
                <w:szCs w:val="18"/>
                <w:lang w:val="en-GB"/>
              </w:rPr>
            </w:pPr>
            <w:r w:rsidRPr="006C5B12">
              <w:rPr>
                <w:sz w:val="18"/>
                <w:szCs w:val="18"/>
                <w:lang w:val="en-GB"/>
              </w:rPr>
              <w:t>M</w:t>
            </w:r>
            <w:r w:rsidR="00C857C9">
              <w:rPr>
                <w:sz w:val="18"/>
                <w:szCs w:val="18"/>
                <w:lang w:val="en-GB"/>
              </w:rPr>
              <w:t>inor</w:t>
            </w:r>
            <w:r w:rsidRPr="006C5B12">
              <w:rPr>
                <w:sz w:val="18"/>
                <w:szCs w:val="18"/>
                <w:lang w:val="en-GB"/>
              </w:rPr>
              <w:t xml:space="preserve">, </w:t>
            </w:r>
            <w:r w:rsidR="00C857C9">
              <w:rPr>
                <w:sz w:val="18"/>
                <w:szCs w:val="18"/>
                <w:lang w:val="en-GB"/>
              </w:rPr>
              <w:t xml:space="preserve">possible risk to patients </w:t>
            </w:r>
          </w:p>
        </w:tc>
      </w:tr>
      <w:tr w:rsidR="00F80F8D" w:rsidRPr="006C5B12" w14:paraId="5E94FA1D" w14:textId="77777777" w:rsidTr="00F80F8D">
        <w:tc>
          <w:tcPr>
            <w:tcW w:w="1696" w:type="dxa"/>
          </w:tcPr>
          <w:p w14:paraId="7291AFDC" w14:textId="77777777" w:rsidR="00F80F8D" w:rsidRPr="006C5B12" w:rsidRDefault="00F80F8D" w:rsidP="00F80F8D">
            <w:pPr>
              <w:rPr>
                <w:sz w:val="18"/>
                <w:szCs w:val="18"/>
                <w:lang w:val="en-GB"/>
              </w:rPr>
            </w:pPr>
            <w:r w:rsidRPr="006C5B12">
              <w:rPr>
                <w:sz w:val="18"/>
                <w:szCs w:val="18"/>
                <w:lang w:val="en-GB"/>
              </w:rPr>
              <w:t>3</w:t>
            </w:r>
          </w:p>
        </w:tc>
        <w:tc>
          <w:tcPr>
            <w:tcW w:w="3686" w:type="dxa"/>
          </w:tcPr>
          <w:p w14:paraId="5A1479E4" w14:textId="0DEFB259" w:rsidR="00F80F8D" w:rsidRPr="006C5B12" w:rsidRDefault="00F80F8D" w:rsidP="00F80F8D">
            <w:pPr>
              <w:rPr>
                <w:sz w:val="18"/>
                <w:szCs w:val="18"/>
                <w:lang w:val="en-GB"/>
              </w:rPr>
            </w:pPr>
            <w:r w:rsidRPr="006C5B12">
              <w:rPr>
                <w:sz w:val="18"/>
                <w:szCs w:val="18"/>
                <w:lang w:val="en-GB"/>
              </w:rPr>
              <w:t>H</w:t>
            </w:r>
            <w:r w:rsidR="00C857C9">
              <w:rPr>
                <w:sz w:val="18"/>
                <w:szCs w:val="18"/>
                <w:lang w:val="en-GB"/>
              </w:rPr>
              <w:t>igh</w:t>
            </w:r>
            <w:r w:rsidRPr="006C5B12">
              <w:rPr>
                <w:sz w:val="18"/>
                <w:szCs w:val="18"/>
                <w:lang w:val="en-GB"/>
              </w:rPr>
              <w:t xml:space="preserve">, </w:t>
            </w:r>
            <w:r w:rsidR="00C857C9">
              <w:rPr>
                <w:sz w:val="18"/>
                <w:szCs w:val="18"/>
                <w:lang w:val="en-GB"/>
              </w:rPr>
              <w:t>risk to patients</w:t>
            </w:r>
          </w:p>
        </w:tc>
      </w:tr>
    </w:tbl>
    <w:p w14:paraId="144C2605" w14:textId="77777777" w:rsidR="00F80F8D" w:rsidRPr="006C5B12" w:rsidRDefault="00F80F8D" w:rsidP="00F80F8D">
      <w:pPr>
        <w:spacing w:after="0"/>
        <w:rPr>
          <w:sz w:val="18"/>
          <w:szCs w:val="18"/>
          <w:lang w:val="en-GB"/>
        </w:rPr>
      </w:pPr>
    </w:p>
    <w:p w14:paraId="485B4E7B" w14:textId="3E0E1D8D" w:rsidR="00F80F8D" w:rsidRPr="006C5B12" w:rsidRDefault="00C857C9" w:rsidP="00F80F8D">
      <w:pPr>
        <w:spacing w:after="0"/>
        <w:jc w:val="both"/>
        <w:rPr>
          <w:sz w:val="18"/>
          <w:szCs w:val="18"/>
          <w:lang w:val="en-GB"/>
        </w:rPr>
      </w:pPr>
      <w:r>
        <w:rPr>
          <w:sz w:val="18"/>
          <w:szCs w:val="18"/>
          <w:lang w:val="en-GB"/>
        </w:rPr>
        <w:t>T</w:t>
      </w:r>
      <w:r w:rsidRPr="00C857C9">
        <w:rPr>
          <w:sz w:val="18"/>
          <w:szCs w:val="18"/>
          <w:lang w:val="en-GB"/>
        </w:rPr>
        <w:t xml:space="preserve">he risk priority number (RPN) is determined </w:t>
      </w:r>
      <w:r>
        <w:rPr>
          <w:sz w:val="18"/>
          <w:szCs w:val="18"/>
          <w:lang w:val="en-GB"/>
        </w:rPr>
        <w:t>b</w:t>
      </w:r>
      <w:r w:rsidRPr="00C857C9">
        <w:rPr>
          <w:sz w:val="18"/>
          <w:szCs w:val="18"/>
          <w:lang w:val="en-GB"/>
        </w:rPr>
        <w:t>y multiplying these scores: RP</w:t>
      </w:r>
      <w:r>
        <w:rPr>
          <w:sz w:val="18"/>
          <w:szCs w:val="18"/>
          <w:lang w:val="en-GB"/>
        </w:rPr>
        <w:t>N</w:t>
      </w:r>
      <w:r w:rsidRPr="00C857C9">
        <w:rPr>
          <w:sz w:val="18"/>
          <w:szCs w:val="18"/>
          <w:lang w:val="en-GB"/>
        </w:rPr>
        <w:t xml:space="preserve"> = [A] * [E] * [S]. The higher the RPN (max. value = 27), the higher the underlying risk. After </w:t>
      </w:r>
      <w:r>
        <w:rPr>
          <w:sz w:val="18"/>
          <w:szCs w:val="18"/>
          <w:lang w:val="en-GB"/>
        </w:rPr>
        <w:t xml:space="preserve">implementing </w:t>
      </w:r>
      <w:r w:rsidRPr="00C857C9">
        <w:rPr>
          <w:sz w:val="18"/>
          <w:szCs w:val="18"/>
          <w:lang w:val="en-GB"/>
        </w:rPr>
        <w:t xml:space="preserve">further </w:t>
      </w:r>
      <w:r>
        <w:rPr>
          <w:sz w:val="18"/>
          <w:szCs w:val="18"/>
          <w:lang w:val="en-GB"/>
        </w:rPr>
        <w:t xml:space="preserve">measures to minimise </w:t>
      </w:r>
      <w:r w:rsidRPr="00C857C9">
        <w:rPr>
          <w:sz w:val="18"/>
          <w:szCs w:val="18"/>
          <w:lang w:val="en-GB"/>
        </w:rPr>
        <w:t xml:space="preserve">risk, these factors are re-evaluated. The following classification of risk acceptance is made </w:t>
      </w:r>
      <w:r>
        <w:rPr>
          <w:sz w:val="18"/>
          <w:szCs w:val="18"/>
          <w:lang w:val="en-GB"/>
        </w:rPr>
        <w:t>based on</w:t>
      </w:r>
      <w:r w:rsidRPr="00C857C9">
        <w:rPr>
          <w:sz w:val="18"/>
          <w:szCs w:val="18"/>
          <w:lang w:val="en-GB"/>
        </w:rPr>
        <w:t xml:space="preserve"> the </w:t>
      </w:r>
      <w:r w:rsidR="00DE6837">
        <w:rPr>
          <w:sz w:val="18"/>
          <w:szCs w:val="18"/>
          <w:lang w:val="en-GB"/>
        </w:rPr>
        <w:t xml:space="preserve">calculated </w:t>
      </w:r>
      <w:r w:rsidRPr="00C857C9">
        <w:rPr>
          <w:sz w:val="18"/>
          <w:szCs w:val="18"/>
          <w:lang w:val="en-GB"/>
        </w:rPr>
        <w:t>RPN values:</w:t>
      </w:r>
      <w:r>
        <w:rPr>
          <w:sz w:val="18"/>
          <w:szCs w:val="18"/>
          <w:lang w:val="en-GB"/>
        </w:rPr>
        <w:t xml:space="preserve"> </w:t>
      </w:r>
    </w:p>
    <w:p w14:paraId="71DE9527" w14:textId="77777777" w:rsidR="00F80F8D" w:rsidRPr="006C5B12" w:rsidRDefault="00F80F8D" w:rsidP="00F80F8D">
      <w:pPr>
        <w:spacing w:after="0"/>
        <w:jc w:val="both"/>
        <w:rPr>
          <w:sz w:val="18"/>
          <w:szCs w:val="18"/>
          <w:lang w:val="en-GB"/>
        </w:rPr>
      </w:pPr>
    </w:p>
    <w:tbl>
      <w:tblPr>
        <w:tblStyle w:val="Tabellenraster"/>
        <w:tblW w:w="0" w:type="auto"/>
        <w:tblLook w:val="04A0" w:firstRow="1" w:lastRow="0" w:firstColumn="1" w:lastColumn="0" w:noHBand="0" w:noVBand="1"/>
      </w:tblPr>
      <w:tblGrid>
        <w:gridCol w:w="1696"/>
        <w:gridCol w:w="4253"/>
      </w:tblGrid>
      <w:tr w:rsidR="00F80F8D" w:rsidRPr="006C5B12" w14:paraId="4F90BABE" w14:textId="77777777" w:rsidTr="00F80F8D">
        <w:tc>
          <w:tcPr>
            <w:tcW w:w="1696" w:type="dxa"/>
          </w:tcPr>
          <w:p w14:paraId="030CFC85" w14:textId="3F4D9724" w:rsidR="00F80F8D" w:rsidRPr="006C5B12" w:rsidRDefault="00F80F8D" w:rsidP="00F80F8D">
            <w:pPr>
              <w:rPr>
                <w:b/>
                <w:sz w:val="18"/>
                <w:szCs w:val="18"/>
                <w:lang w:val="en-GB"/>
              </w:rPr>
            </w:pPr>
            <w:r w:rsidRPr="006C5B12">
              <w:rPr>
                <w:b/>
                <w:sz w:val="18"/>
                <w:szCs w:val="18"/>
                <w:lang w:val="en-GB"/>
              </w:rPr>
              <w:t>RP</w:t>
            </w:r>
            <w:r w:rsidR="00C857C9">
              <w:rPr>
                <w:b/>
                <w:sz w:val="18"/>
                <w:szCs w:val="18"/>
                <w:lang w:val="en-GB"/>
              </w:rPr>
              <w:t>N</w:t>
            </w:r>
            <w:r w:rsidRPr="006C5B12">
              <w:rPr>
                <w:b/>
                <w:sz w:val="18"/>
                <w:szCs w:val="18"/>
                <w:lang w:val="en-GB"/>
              </w:rPr>
              <w:tab/>
            </w:r>
          </w:p>
        </w:tc>
        <w:tc>
          <w:tcPr>
            <w:tcW w:w="4253" w:type="dxa"/>
          </w:tcPr>
          <w:p w14:paraId="24403DD4" w14:textId="3DC5C45D" w:rsidR="00F80F8D" w:rsidRPr="006C5B12" w:rsidRDefault="00C857C9" w:rsidP="00F80F8D">
            <w:pPr>
              <w:rPr>
                <w:b/>
                <w:sz w:val="18"/>
                <w:szCs w:val="18"/>
                <w:lang w:val="en-GB"/>
              </w:rPr>
            </w:pPr>
            <w:r>
              <w:rPr>
                <w:b/>
                <w:sz w:val="18"/>
                <w:szCs w:val="18"/>
                <w:lang w:val="en-GB"/>
              </w:rPr>
              <w:t>Classification</w:t>
            </w:r>
          </w:p>
        </w:tc>
      </w:tr>
      <w:tr w:rsidR="00F80F8D" w:rsidRPr="006C5B12" w14:paraId="7AEB63E6" w14:textId="77777777" w:rsidTr="00F80F8D">
        <w:tc>
          <w:tcPr>
            <w:tcW w:w="1696" w:type="dxa"/>
          </w:tcPr>
          <w:p w14:paraId="7E58FBDD" w14:textId="77777777" w:rsidR="00F80F8D" w:rsidRPr="006C5B12" w:rsidRDefault="00F80F8D" w:rsidP="00F80F8D">
            <w:pPr>
              <w:rPr>
                <w:sz w:val="18"/>
                <w:szCs w:val="18"/>
                <w:lang w:val="en-GB"/>
              </w:rPr>
            </w:pPr>
            <w:r w:rsidRPr="006C5B12">
              <w:rPr>
                <w:sz w:val="18"/>
                <w:szCs w:val="18"/>
                <w:lang w:val="en-GB"/>
              </w:rPr>
              <w:t>1 – 4</w:t>
            </w:r>
          </w:p>
        </w:tc>
        <w:tc>
          <w:tcPr>
            <w:tcW w:w="4253" w:type="dxa"/>
          </w:tcPr>
          <w:p w14:paraId="36C33C41" w14:textId="4AA261C7" w:rsidR="00F80F8D" w:rsidRPr="006C5B12" w:rsidRDefault="00C857C9" w:rsidP="00F80F8D">
            <w:pPr>
              <w:rPr>
                <w:sz w:val="18"/>
                <w:szCs w:val="18"/>
                <w:lang w:val="en-GB"/>
              </w:rPr>
            </w:pPr>
            <w:r>
              <w:rPr>
                <w:sz w:val="18"/>
                <w:szCs w:val="18"/>
                <w:lang w:val="en-GB"/>
              </w:rPr>
              <w:t>Non-critical</w:t>
            </w:r>
            <w:r w:rsidR="00F80F8D" w:rsidRPr="006C5B12">
              <w:rPr>
                <w:sz w:val="18"/>
                <w:szCs w:val="18"/>
                <w:lang w:val="en-GB"/>
              </w:rPr>
              <w:t xml:space="preserve"> </w:t>
            </w:r>
          </w:p>
        </w:tc>
      </w:tr>
      <w:tr w:rsidR="00F80F8D" w:rsidRPr="00D02B35" w14:paraId="1EDEAE16" w14:textId="77777777" w:rsidTr="00F80F8D">
        <w:tc>
          <w:tcPr>
            <w:tcW w:w="1696" w:type="dxa"/>
          </w:tcPr>
          <w:p w14:paraId="33646A0A" w14:textId="77777777" w:rsidR="00F80F8D" w:rsidRPr="006C5B12" w:rsidRDefault="00F80F8D" w:rsidP="00F80F8D">
            <w:pPr>
              <w:rPr>
                <w:sz w:val="18"/>
                <w:szCs w:val="18"/>
                <w:lang w:val="en-GB"/>
              </w:rPr>
            </w:pPr>
            <w:r w:rsidRPr="006C5B12">
              <w:rPr>
                <w:sz w:val="18"/>
                <w:szCs w:val="18"/>
                <w:lang w:val="en-GB"/>
              </w:rPr>
              <w:t>6 – 9</w:t>
            </w:r>
          </w:p>
        </w:tc>
        <w:tc>
          <w:tcPr>
            <w:tcW w:w="4253" w:type="dxa"/>
          </w:tcPr>
          <w:p w14:paraId="2E44C24C" w14:textId="0064F15E" w:rsidR="00F80F8D" w:rsidRPr="006C5B12" w:rsidRDefault="00C857C9" w:rsidP="00F80F8D">
            <w:pPr>
              <w:rPr>
                <w:sz w:val="18"/>
                <w:szCs w:val="18"/>
                <w:lang w:val="en-GB"/>
              </w:rPr>
            </w:pPr>
            <w:r>
              <w:rPr>
                <w:sz w:val="18"/>
                <w:szCs w:val="18"/>
                <w:lang w:val="en-GB"/>
              </w:rPr>
              <w:t xml:space="preserve">Borderline, risk reduction when patients at risk </w:t>
            </w:r>
          </w:p>
        </w:tc>
      </w:tr>
      <w:tr w:rsidR="00F80F8D" w:rsidRPr="006C5B12" w14:paraId="6B5E7F80" w14:textId="77777777" w:rsidTr="00F80F8D">
        <w:tc>
          <w:tcPr>
            <w:tcW w:w="1696" w:type="dxa"/>
          </w:tcPr>
          <w:p w14:paraId="5FC9389D" w14:textId="77777777" w:rsidR="00F80F8D" w:rsidRPr="006C5B12" w:rsidRDefault="00F80F8D" w:rsidP="00F80F8D">
            <w:pPr>
              <w:rPr>
                <w:sz w:val="18"/>
                <w:szCs w:val="18"/>
                <w:lang w:val="en-GB"/>
              </w:rPr>
            </w:pPr>
            <w:r w:rsidRPr="006C5B12">
              <w:rPr>
                <w:sz w:val="18"/>
                <w:szCs w:val="18"/>
                <w:lang w:val="en-GB"/>
              </w:rPr>
              <w:t>12 - 27</w:t>
            </w:r>
          </w:p>
        </w:tc>
        <w:tc>
          <w:tcPr>
            <w:tcW w:w="4253" w:type="dxa"/>
          </w:tcPr>
          <w:p w14:paraId="458DC8D5" w14:textId="451551BF" w:rsidR="00F80F8D" w:rsidRPr="006C5B12" w:rsidRDefault="00C857C9" w:rsidP="00F80F8D">
            <w:pPr>
              <w:rPr>
                <w:sz w:val="18"/>
                <w:szCs w:val="18"/>
                <w:lang w:val="en-GB"/>
              </w:rPr>
            </w:pPr>
            <w:r>
              <w:rPr>
                <w:sz w:val="18"/>
                <w:szCs w:val="18"/>
                <w:lang w:val="en-GB"/>
              </w:rPr>
              <w:t>Critical</w:t>
            </w:r>
            <w:r w:rsidR="00F80F8D" w:rsidRPr="006C5B12">
              <w:rPr>
                <w:sz w:val="18"/>
                <w:szCs w:val="18"/>
                <w:lang w:val="en-GB"/>
              </w:rPr>
              <w:t xml:space="preserve">, </w:t>
            </w:r>
            <w:r>
              <w:rPr>
                <w:sz w:val="18"/>
                <w:szCs w:val="18"/>
                <w:lang w:val="en-GB"/>
              </w:rPr>
              <w:t xml:space="preserve">risk reduction necessary </w:t>
            </w:r>
          </w:p>
        </w:tc>
      </w:tr>
    </w:tbl>
    <w:p w14:paraId="234E2F76" w14:textId="77777777" w:rsidR="00F80F8D" w:rsidRPr="006C5B12" w:rsidRDefault="00F80F8D" w:rsidP="00F80F8D">
      <w:pPr>
        <w:spacing w:after="0"/>
        <w:rPr>
          <w:sz w:val="18"/>
          <w:szCs w:val="18"/>
          <w:lang w:val="en-GB"/>
        </w:rPr>
      </w:pPr>
    </w:p>
    <w:p w14:paraId="097F9351" w14:textId="7E08E7C8" w:rsidR="00F80F8D" w:rsidRPr="00DE6837" w:rsidRDefault="00F80F8D" w:rsidP="00F80F8D">
      <w:pPr>
        <w:spacing w:after="0"/>
        <w:jc w:val="both"/>
        <w:rPr>
          <w:u w:val="single"/>
          <w:lang w:val="en-GB"/>
        </w:rPr>
      </w:pPr>
      <w:r w:rsidRPr="00DE6837">
        <w:rPr>
          <w:u w:val="single"/>
          <w:lang w:val="en-GB"/>
        </w:rPr>
        <w:t>Risk</w:t>
      </w:r>
      <w:r w:rsidR="00265F4A" w:rsidRPr="00DE6837">
        <w:rPr>
          <w:u w:val="single"/>
          <w:lang w:val="en-GB"/>
        </w:rPr>
        <w:t xml:space="preserve"> </w:t>
      </w:r>
      <w:r w:rsidR="00B06950" w:rsidRPr="00DE6837">
        <w:rPr>
          <w:u w:val="single"/>
          <w:lang w:val="en-GB"/>
        </w:rPr>
        <w:t>A</w:t>
      </w:r>
      <w:r w:rsidRPr="00DE6837">
        <w:rPr>
          <w:u w:val="single"/>
          <w:lang w:val="en-GB"/>
        </w:rPr>
        <w:t>nalys</w:t>
      </w:r>
      <w:r w:rsidR="00265F4A" w:rsidRPr="00DE6837">
        <w:rPr>
          <w:u w:val="single"/>
          <w:lang w:val="en-GB"/>
        </w:rPr>
        <w:t xml:space="preserve">is </w:t>
      </w:r>
      <w:r w:rsidR="00B06950" w:rsidRPr="00DE6837">
        <w:rPr>
          <w:u w:val="single"/>
          <w:lang w:val="en-GB"/>
        </w:rPr>
        <w:t>P</w:t>
      </w:r>
      <w:r w:rsidR="00265F4A" w:rsidRPr="00DE6837">
        <w:rPr>
          <w:u w:val="single"/>
          <w:lang w:val="en-GB"/>
        </w:rPr>
        <w:t>art</w:t>
      </w:r>
      <w:r w:rsidRPr="00DE6837">
        <w:rPr>
          <w:u w:val="single"/>
          <w:lang w:val="en-GB"/>
        </w:rPr>
        <w:t xml:space="preserve"> 1: </w:t>
      </w:r>
      <w:r w:rsidR="0080298F" w:rsidRPr="00DE6837">
        <w:rPr>
          <w:u w:val="single"/>
          <w:lang w:val="en-GB"/>
        </w:rPr>
        <w:t>L</w:t>
      </w:r>
      <w:r w:rsidR="00265F4A" w:rsidRPr="00DE6837">
        <w:rPr>
          <w:u w:val="single"/>
          <w:lang w:val="en-GB"/>
        </w:rPr>
        <w:t>ab</w:t>
      </w:r>
      <w:r w:rsidR="0080298F" w:rsidRPr="00DE6837">
        <w:rPr>
          <w:u w:val="single"/>
          <w:lang w:val="en-GB"/>
        </w:rPr>
        <w:t>oratory</w:t>
      </w:r>
    </w:p>
    <w:p w14:paraId="7E434EE8" w14:textId="2E2B1404" w:rsidR="00F80F8D" w:rsidRPr="00DE6837" w:rsidRDefault="00B06950" w:rsidP="00F80F8D">
      <w:pPr>
        <w:spacing w:after="0"/>
        <w:jc w:val="both"/>
        <w:rPr>
          <w:lang w:val="en-GB"/>
        </w:rPr>
      </w:pPr>
      <w:r w:rsidRPr="00DE6837">
        <w:rPr>
          <w:lang w:val="en-GB"/>
        </w:rPr>
        <w:t>A sample generic device group is considered i</w:t>
      </w:r>
      <w:r w:rsidR="00A9214B" w:rsidRPr="00DE6837">
        <w:rPr>
          <w:lang w:val="en-GB"/>
        </w:rPr>
        <w:t>n Part 1 of the risk analysis. This includes the collection and documentation of the probability of occurrence [</w:t>
      </w:r>
      <w:r w:rsidRPr="00DE6837">
        <w:rPr>
          <w:lang w:val="en-GB"/>
        </w:rPr>
        <w:t>P</w:t>
      </w:r>
      <w:r w:rsidR="00A9214B" w:rsidRPr="00DE6837">
        <w:rPr>
          <w:lang w:val="en-GB"/>
        </w:rPr>
        <w:t>] and detection [</w:t>
      </w:r>
      <w:r w:rsidR="0080298F" w:rsidRPr="00DE6837">
        <w:rPr>
          <w:lang w:val="en-GB"/>
        </w:rPr>
        <w:t>D</w:t>
      </w:r>
      <w:r w:rsidR="00A9214B" w:rsidRPr="00DE6837">
        <w:rPr>
          <w:lang w:val="en-GB"/>
        </w:rPr>
        <w:t>] of a chain of causes leading to potential damage. The</w:t>
      </w:r>
      <w:r w:rsidRPr="00DE6837">
        <w:rPr>
          <w:lang w:val="en-GB"/>
        </w:rPr>
        <w:t xml:space="preserve"> sample</w:t>
      </w:r>
      <w:r w:rsidR="00A9214B" w:rsidRPr="00DE6837">
        <w:rPr>
          <w:lang w:val="en-GB"/>
        </w:rPr>
        <w:t xml:space="preserve"> generic device group considered here: </w:t>
      </w:r>
      <w:r w:rsidR="00A9214B" w:rsidRPr="00DE6837">
        <w:rPr>
          <w:b/>
          <w:bCs/>
          <w:lang w:val="en-GB"/>
        </w:rPr>
        <w:t>ELISA, manual processing in a batch</w:t>
      </w:r>
      <w:r w:rsidR="00A9214B" w:rsidRPr="00DE6837">
        <w:rPr>
          <w:lang w:val="en-GB"/>
        </w:rPr>
        <w:t>.</w:t>
      </w:r>
    </w:p>
    <w:p w14:paraId="533086F1" w14:textId="5CC99443" w:rsidR="001264A8" w:rsidRDefault="001264A8" w:rsidP="00F80F8D">
      <w:pPr>
        <w:spacing w:after="0"/>
        <w:jc w:val="both"/>
        <w:rPr>
          <w:lang w:val="en-GB"/>
        </w:rPr>
      </w:pPr>
    </w:p>
    <w:tbl>
      <w:tblPr>
        <w:tblStyle w:val="Tabellenraster"/>
        <w:tblW w:w="9067" w:type="dxa"/>
        <w:tblLayout w:type="fixed"/>
        <w:tblLook w:val="04A0" w:firstRow="1" w:lastRow="0" w:firstColumn="1" w:lastColumn="0" w:noHBand="0" w:noVBand="1"/>
      </w:tblPr>
      <w:tblGrid>
        <w:gridCol w:w="1696"/>
        <w:gridCol w:w="851"/>
        <w:gridCol w:w="1276"/>
        <w:gridCol w:w="1559"/>
        <w:gridCol w:w="2268"/>
        <w:gridCol w:w="803"/>
        <w:gridCol w:w="331"/>
        <w:gridCol w:w="283"/>
      </w:tblGrid>
      <w:tr w:rsidR="00B650F3" w14:paraId="78949DF2" w14:textId="77777777" w:rsidTr="00A8624A">
        <w:tc>
          <w:tcPr>
            <w:tcW w:w="1696" w:type="dxa"/>
            <w:tcBorders>
              <w:bottom w:val="single" w:sz="8" w:space="0" w:color="auto"/>
            </w:tcBorders>
            <w:shd w:val="clear" w:color="auto" w:fill="A8D08D" w:themeFill="accent6" w:themeFillTint="99"/>
          </w:tcPr>
          <w:p w14:paraId="40866BDE" w14:textId="389A0096" w:rsidR="001264A8" w:rsidRPr="001264A8" w:rsidRDefault="00DA1FCA" w:rsidP="00F80F8D">
            <w:pPr>
              <w:jc w:val="both"/>
              <w:rPr>
                <w:b/>
                <w:sz w:val="12"/>
                <w:szCs w:val="12"/>
                <w:lang w:val="en-GB"/>
              </w:rPr>
            </w:pPr>
            <w:r>
              <w:rPr>
                <w:b/>
                <w:sz w:val="12"/>
                <w:szCs w:val="12"/>
                <w:lang w:val="en-GB"/>
              </w:rPr>
              <w:t>Trigger</w:t>
            </w:r>
          </w:p>
        </w:tc>
        <w:tc>
          <w:tcPr>
            <w:tcW w:w="851" w:type="dxa"/>
            <w:tcBorders>
              <w:bottom w:val="single" w:sz="8" w:space="0" w:color="auto"/>
            </w:tcBorders>
            <w:shd w:val="clear" w:color="auto" w:fill="A8D08D" w:themeFill="accent6" w:themeFillTint="99"/>
          </w:tcPr>
          <w:p w14:paraId="7FE4F35E" w14:textId="5674B609" w:rsidR="001264A8" w:rsidRPr="001264A8" w:rsidRDefault="001264A8" w:rsidP="006B160F">
            <w:pPr>
              <w:ind w:left="-105"/>
              <w:jc w:val="both"/>
              <w:rPr>
                <w:b/>
                <w:sz w:val="12"/>
                <w:szCs w:val="12"/>
                <w:lang w:val="en-GB"/>
              </w:rPr>
            </w:pPr>
            <w:r w:rsidRPr="001264A8">
              <w:rPr>
                <w:b/>
                <w:sz w:val="12"/>
                <w:szCs w:val="12"/>
                <w:lang w:val="en-GB"/>
              </w:rPr>
              <w:t>Hazard</w:t>
            </w:r>
          </w:p>
        </w:tc>
        <w:tc>
          <w:tcPr>
            <w:tcW w:w="1276" w:type="dxa"/>
            <w:tcBorders>
              <w:bottom w:val="single" w:sz="8" w:space="0" w:color="auto"/>
            </w:tcBorders>
            <w:shd w:val="clear" w:color="auto" w:fill="A8D08D" w:themeFill="accent6" w:themeFillTint="99"/>
          </w:tcPr>
          <w:p w14:paraId="0D59678B" w14:textId="734CC8C8" w:rsidR="001264A8" w:rsidRPr="001264A8" w:rsidRDefault="001264A8" w:rsidP="006B160F">
            <w:pPr>
              <w:ind w:left="-111"/>
              <w:jc w:val="both"/>
              <w:rPr>
                <w:b/>
                <w:sz w:val="12"/>
                <w:szCs w:val="12"/>
                <w:lang w:val="en-GB"/>
              </w:rPr>
            </w:pPr>
            <w:r w:rsidRPr="001264A8">
              <w:rPr>
                <w:b/>
                <w:sz w:val="12"/>
                <w:szCs w:val="12"/>
                <w:lang w:val="en-GB"/>
              </w:rPr>
              <w:t>Hazardous situation</w:t>
            </w:r>
          </w:p>
        </w:tc>
        <w:tc>
          <w:tcPr>
            <w:tcW w:w="1559" w:type="dxa"/>
            <w:tcBorders>
              <w:bottom w:val="single" w:sz="8" w:space="0" w:color="auto"/>
            </w:tcBorders>
            <w:shd w:val="clear" w:color="auto" w:fill="A8D08D" w:themeFill="accent6" w:themeFillTint="99"/>
          </w:tcPr>
          <w:p w14:paraId="39E605DB" w14:textId="01C4CAAD" w:rsidR="001264A8" w:rsidRPr="001264A8" w:rsidRDefault="001264A8" w:rsidP="006B160F">
            <w:pPr>
              <w:ind w:left="-109"/>
              <w:jc w:val="both"/>
              <w:rPr>
                <w:b/>
                <w:sz w:val="12"/>
                <w:szCs w:val="12"/>
                <w:lang w:val="en-GB"/>
              </w:rPr>
            </w:pPr>
            <w:r w:rsidRPr="001264A8">
              <w:rPr>
                <w:b/>
                <w:sz w:val="12"/>
                <w:szCs w:val="12"/>
                <w:lang w:val="en-GB"/>
              </w:rPr>
              <w:t>Potential harm</w:t>
            </w:r>
          </w:p>
        </w:tc>
        <w:tc>
          <w:tcPr>
            <w:tcW w:w="2268" w:type="dxa"/>
            <w:tcBorders>
              <w:bottom w:val="single" w:sz="8" w:space="0" w:color="auto"/>
            </w:tcBorders>
            <w:shd w:val="clear" w:color="auto" w:fill="A8D08D" w:themeFill="accent6" w:themeFillTint="99"/>
          </w:tcPr>
          <w:p w14:paraId="487B6B8A" w14:textId="449417A9" w:rsidR="001264A8" w:rsidRPr="001264A8" w:rsidRDefault="001E7488" w:rsidP="006B160F">
            <w:pPr>
              <w:ind w:left="-106"/>
              <w:jc w:val="both"/>
              <w:rPr>
                <w:b/>
                <w:sz w:val="12"/>
                <w:szCs w:val="12"/>
                <w:lang w:val="en-GB"/>
              </w:rPr>
            </w:pPr>
            <w:r>
              <w:rPr>
                <w:b/>
                <w:sz w:val="12"/>
                <w:szCs w:val="12"/>
                <w:lang w:val="en-GB"/>
              </w:rPr>
              <w:t>P</w:t>
            </w:r>
            <w:r w:rsidR="001264A8" w:rsidRPr="001264A8">
              <w:rPr>
                <w:b/>
                <w:sz w:val="12"/>
                <w:szCs w:val="12"/>
                <w:lang w:val="en-GB"/>
              </w:rPr>
              <w:t>reventative measures taken</w:t>
            </w:r>
          </w:p>
        </w:tc>
        <w:tc>
          <w:tcPr>
            <w:tcW w:w="803" w:type="dxa"/>
            <w:tcBorders>
              <w:bottom w:val="single" w:sz="8" w:space="0" w:color="auto"/>
            </w:tcBorders>
            <w:shd w:val="clear" w:color="auto" w:fill="A8D08D" w:themeFill="accent6" w:themeFillTint="99"/>
          </w:tcPr>
          <w:p w14:paraId="41D963D3" w14:textId="4C7E0BC9" w:rsidR="001264A8" w:rsidRPr="001264A8" w:rsidRDefault="001264A8" w:rsidP="00F80F8D">
            <w:pPr>
              <w:jc w:val="both"/>
              <w:rPr>
                <w:b/>
                <w:sz w:val="12"/>
                <w:szCs w:val="12"/>
                <w:lang w:val="en-GB"/>
              </w:rPr>
            </w:pPr>
            <w:r w:rsidRPr="001264A8">
              <w:rPr>
                <w:b/>
                <w:sz w:val="12"/>
                <w:szCs w:val="12"/>
                <w:lang w:val="en-GB"/>
              </w:rPr>
              <w:t>Doc.</w:t>
            </w:r>
          </w:p>
        </w:tc>
        <w:tc>
          <w:tcPr>
            <w:tcW w:w="331" w:type="dxa"/>
            <w:tcBorders>
              <w:bottom w:val="single" w:sz="8" w:space="0" w:color="auto"/>
            </w:tcBorders>
            <w:shd w:val="clear" w:color="auto" w:fill="A8D08D" w:themeFill="accent6" w:themeFillTint="99"/>
          </w:tcPr>
          <w:p w14:paraId="4BD7758F" w14:textId="7E5EE8EC" w:rsidR="001264A8" w:rsidRPr="001264A8" w:rsidRDefault="001264A8" w:rsidP="001E7488">
            <w:pPr>
              <w:ind w:left="-60"/>
              <w:jc w:val="both"/>
              <w:rPr>
                <w:b/>
                <w:sz w:val="12"/>
                <w:szCs w:val="12"/>
                <w:lang w:val="en-GB"/>
              </w:rPr>
            </w:pPr>
            <w:r w:rsidRPr="001264A8">
              <w:rPr>
                <w:b/>
                <w:sz w:val="12"/>
                <w:szCs w:val="12"/>
                <w:lang w:val="en-GB"/>
              </w:rPr>
              <w:t>[</w:t>
            </w:r>
            <w:r w:rsidR="00A634AD">
              <w:rPr>
                <w:b/>
                <w:sz w:val="12"/>
                <w:szCs w:val="12"/>
                <w:lang w:val="en-GB"/>
              </w:rPr>
              <w:t>P</w:t>
            </w:r>
            <w:r w:rsidRPr="001264A8">
              <w:rPr>
                <w:b/>
                <w:sz w:val="12"/>
                <w:szCs w:val="12"/>
                <w:lang w:val="en-GB"/>
              </w:rPr>
              <w:t>]</w:t>
            </w:r>
          </w:p>
        </w:tc>
        <w:tc>
          <w:tcPr>
            <w:tcW w:w="283" w:type="dxa"/>
            <w:tcBorders>
              <w:bottom w:val="single" w:sz="8" w:space="0" w:color="auto"/>
            </w:tcBorders>
            <w:shd w:val="clear" w:color="auto" w:fill="A8D08D" w:themeFill="accent6" w:themeFillTint="99"/>
          </w:tcPr>
          <w:p w14:paraId="23C5DBF9" w14:textId="4F760A26" w:rsidR="001264A8" w:rsidRPr="001264A8" w:rsidRDefault="001264A8" w:rsidP="001E7488">
            <w:pPr>
              <w:ind w:left="-109"/>
              <w:jc w:val="both"/>
              <w:rPr>
                <w:b/>
                <w:sz w:val="12"/>
                <w:szCs w:val="12"/>
                <w:lang w:val="en-GB"/>
              </w:rPr>
            </w:pPr>
            <w:r w:rsidRPr="001264A8">
              <w:rPr>
                <w:b/>
                <w:sz w:val="12"/>
                <w:szCs w:val="12"/>
                <w:lang w:val="en-GB"/>
              </w:rPr>
              <w:t>[D]</w:t>
            </w:r>
          </w:p>
        </w:tc>
      </w:tr>
      <w:tr w:rsidR="006B160F" w:rsidRPr="00B650F3" w14:paraId="5DC7D256" w14:textId="77777777" w:rsidTr="00A8624A">
        <w:trPr>
          <w:trHeight w:val="302"/>
        </w:trPr>
        <w:tc>
          <w:tcPr>
            <w:tcW w:w="1696" w:type="dxa"/>
            <w:vMerge w:val="restart"/>
            <w:tcBorders>
              <w:top w:val="single" w:sz="8" w:space="0" w:color="auto"/>
            </w:tcBorders>
          </w:tcPr>
          <w:p w14:paraId="787C397B" w14:textId="3AF0B77B" w:rsidR="006B160F" w:rsidRPr="00B650F3" w:rsidRDefault="006B160F" w:rsidP="00F80F8D">
            <w:pPr>
              <w:jc w:val="both"/>
              <w:rPr>
                <w:bCs/>
                <w:sz w:val="12"/>
                <w:szCs w:val="12"/>
                <w:lang w:val="en-GB"/>
              </w:rPr>
            </w:pPr>
            <w:r>
              <w:rPr>
                <w:bCs/>
                <w:sz w:val="12"/>
                <w:szCs w:val="12"/>
                <w:lang w:val="en-GB"/>
              </w:rPr>
              <w:t>Kit components: temperature outside acceptable range</w:t>
            </w:r>
          </w:p>
        </w:tc>
        <w:tc>
          <w:tcPr>
            <w:tcW w:w="851" w:type="dxa"/>
            <w:tcBorders>
              <w:top w:val="single" w:sz="8" w:space="0" w:color="auto"/>
              <w:bottom w:val="single" w:sz="8" w:space="0" w:color="auto"/>
            </w:tcBorders>
            <w:vAlign w:val="center"/>
          </w:tcPr>
          <w:p w14:paraId="50B62B87" w14:textId="22A0F2FA" w:rsidR="006B160F" w:rsidRPr="00B650F3" w:rsidRDefault="006B160F" w:rsidP="001E7488">
            <w:pPr>
              <w:ind w:left="-105"/>
              <w:rPr>
                <w:bCs/>
                <w:sz w:val="12"/>
                <w:szCs w:val="12"/>
                <w:lang w:val="en-GB"/>
              </w:rPr>
            </w:pPr>
            <w:r>
              <w:rPr>
                <w:bCs/>
                <w:sz w:val="12"/>
                <w:szCs w:val="12"/>
                <w:lang w:val="en-GB"/>
              </w:rPr>
              <w:t>False result</w:t>
            </w:r>
          </w:p>
        </w:tc>
        <w:tc>
          <w:tcPr>
            <w:tcW w:w="1276" w:type="dxa"/>
            <w:tcBorders>
              <w:top w:val="single" w:sz="8" w:space="0" w:color="auto"/>
              <w:bottom w:val="single" w:sz="8" w:space="0" w:color="auto"/>
            </w:tcBorders>
            <w:vAlign w:val="center"/>
          </w:tcPr>
          <w:p w14:paraId="77B0C004" w14:textId="3194D414" w:rsidR="006B160F" w:rsidRPr="00B650F3" w:rsidRDefault="006B160F" w:rsidP="001E7488">
            <w:pPr>
              <w:ind w:left="-111"/>
              <w:rPr>
                <w:bCs/>
                <w:sz w:val="12"/>
                <w:szCs w:val="12"/>
                <w:lang w:val="en-GB"/>
              </w:rPr>
            </w:pPr>
            <w:r>
              <w:rPr>
                <w:bCs/>
                <w:sz w:val="12"/>
                <w:szCs w:val="12"/>
                <w:lang w:val="en-GB"/>
              </w:rPr>
              <w:t>Erroneous result</w:t>
            </w:r>
          </w:p>
        </w:tc>
        <w:tc>
          <w:tcPr>
            <w:tcW w:w="1559" w:type="dxa"/>
            <w:tcBorders>
              <w:top w:val="single" w:sz="8" w:space="0" w:color="auto"/>
              <w:bottom w:val="single" w:sz="8" w:space="0" w:color="auto"/>
            </w:tcBorders>
            <w:vAlign w:val="center"/>
          </w:tcPr>
          <w:p w14:paraId="52C361D2" w14:textId="04C4351B" w:rsidR="006B160F" w:rsidRPr="00B650F3" w:rsidRDefault="006B160F" w:rsidP="001E7488">
            <w:pPr>
              <w:ind w:left="-109"/>
              <w:rPr>
                <w:bCs/>
                <w:sz w:val="12"/>
                <w:szCs w:val="12"/>
                <w:lang w:val="en-GB"/>
              </w:rPr>
            </w:pPr>
            <w:r>
              <w:rPr>
                <w:bCs/>
                <w:sz w:val="12"/>
                <w:szCs w:val="12"/>
                <w:lang w:val="en-GB"/>
              </w:rPr>
              <w:t>False diagnosis/therapy</w:t>
            </w:r>
          </w:p>
        </w:tc>
        <w:tc>
          <w:tcPr>
            <w:tcW w:w="2268" w:type="dxa"/>
            <w:vMerge w:val="restart"/>
            <w:tcBorders>
              <w:top w:val="single" w:sz="8" w:space="0" w:color="auto"/>
            </w:tcBorders>
            <w:vAlign w:val="center"/>
          </w:tcPr>
          <w:p w14:paraId="2C8CA59C" w14:textId="223EAC84" w:rsidR="006B160F" w:rsidRPr="00B650F3" w:rsidRDefault="006B160F" w:rsidP="001E7488">
            <w:pPr>
              <w:ind w:left="-106"/>
              <w:rPr>
                <w:bCs/>
                <w:sz w:val="12"/>
                <w:szCs w:val="12"/>
                <w:lang w:val="en-GB"/>
              </w:rPr>
            </w:pPr>
            <w:r>
              <w:rPr>
                <w:bCs/>
                <w:sz w:val="12"/>
                <w:szCs w:val="12"/>
                <w:lang w:val="en-GB"/>
              </w:rPr>
              <w:t xml:space="preserve">Bring necessary kit components to room temperature early </w:t>
            </w:r>
            <w:r w:rsidR="00A634AD">
              <w:rPr>
                <w:bCs/>
                <w:sz w:val="12"/>
                <w:szCs w:val="12"/>
                <w:lang w:val="en-GB"/>
              </w:rPr>
              <w:t>on (possibly overnight)</w:t>
            </w:r>
          </w:p>
        </w:tc>
        <w:tc>
          <w:tcPr>
            <w:tcW w:w="803" w:type="dxa"/>
            <w:vMerge w:val="restart"/>
            <w:tcBorders>
              <w:top w:val="single" w:sz="8" w:space="0" w:color="auto"/>
            </w:tcBorders>
            <w:vAlign w:val="center"/>
          </w:tcPr>
          <w:p w14:paraId="2ABA0FDD" w14:textId="14CEEAB0" w:rsidR="006B160F" w:rsidRPr="00B650F3" w:rsidRDefault="006B160F" w:rsidP="001E7488">
            <w:pPr>
              <w:rPr>
                <w:bCs/>
                <w:sz w:val="12"/>
                <w:szCs w:val="12"/>
                <w:lang w:val="en-GB"/>
              </w:rPr>
            </w:pPr>
            <w:r>
              <w:rPr>
                <w:bCs/>
                <w:sz w:val="12"/>
                <w:szCs w:val="12"/>
                <w:lang w:val="en-GB"/>
              </w:rPr>
              <w:t>AA-GH-0133</w:t>
            </w:r>
          </w:p>
        </w:tc>
        <w:tc>
          <w:tcPr>
            <w:tcW w:w="331" w:type="dxa"/>
            <w:tcBorders>
              <w:top w:val="single" w:sz="8" w:space="0" w:color="auto"/>
              <w:bottom w:val="single" w:sz="8" w:space="0" w:color="auto"/>
            </w:tcBorders>
            <w:vAlign w:val="center"/>
          </w:tcPr>
          <w:p w14:paraId="3EFF61FC" w14:textId="610E2393" w:rsidR="006B160F" w:rsidRPr="00B650F3" w:rsidRDefault="006B160F" w:rsidP="001E7488">
            <w:pPr>
              <w:ind w:left="-60"/>
              <w:jc w:val="center"/>
              <w:rPr>
                <w:bCs/>
                <w:sz w:val="12"/>
                <w:szCs w:val="12"/>
                <w:lang w:val="en-GB"/>
              </w:rPr>
            </w:pPr>
            <w:r>
              <w:rPr>
                <w:bCs/>
                <w:sz w:val="12"/>
                <w:szCs w:val="12"/>
                <w:lang w:val="en-GB"/>
              </w:rPr>
              <w:t>1</w:t>
            </w:r>
          </w:p>
        </w:tc>
        <w:tc>
          <w:tcPr>
            <w:tcW w:w="283" w:type="dxa"/>
            <w:tcBorders>
              <w:top w:val="single" w:sz="8" w:space="0" w:color="auto"/>
              <w:bottom w:val="single" w:sz="8" w:space="0" w:color="auto"/>
            </w:tcBorders>
            <w:vAlign w:val="center"/>
          </w:tcPr>
          <w:p w14:paraId="665ECC13" w14:textId="76779CBC" w:rsidR="006B160F" w:rsidRPr="00B650F3" w:rsidRDefault="006B160F" w:rsidP="001E7488">
            <w:pPr>
              <w:ind w:left="-109"/>
              <w:jc w:val="center"/>
              <w:rPr>
                <w:bCs/>
                <w:sz w:val="12"/>
                <w:szCs w:val="12"/>
                <w:lang w:val="en-GB"/>
              </w:rPr>
            </w:pPr>
            <w:r>
              <w:rPr>
                <w:bCs/>
                <w:sz w:val="12"/>
                <w:szCs w:val="12"/>
                <w:lang w:val="en-GB"/>
              </w:rPr>
              <w:t>3</w:t>
            </w:r>
          </w:p>
        </w:tc>
      </w:tr>
      <w:tr w:rsidR="006B160F" w:rsidRPr="00B650F3" w14:paraId="0DF5F5F8" w14:textId="77777777" w:rsidTr="00A8624A">
        <w:tc>
          <w:tcPr>
            <w:tcW w:w="1696" w:type="dxa"/>
            <w:vMerge/>
          </w:tcPr>
          <w:p w14:paraId="0DB5C153" w14:textId="77777777" w:rsidR="006B160F" w:rsidRDefault="006B160F" w:rsidP="00F80F8D">
            <w:pPr>
              <w:jc w:val="both"/>
              <w:rPr>
                <w:bCs/>
                <w:sz w:val="12"/>
                <w:szCs w:val="12"/>
                <w:lang w:val="en-GB"/>
              </w:rPr>
            </w:pPr>
          </w:p>
        </w:tc>
        <w:tc>
          <w:tcPr>
            <w:tcW w:w="851" w:type="dxa"/>
            <w:tcBorders>
              <w:top w:val="single" w:sz="8" w:space="0" w:color="auto"/>
            </w:tcBorders>
            <w:vAlign w:val="center"/>
          </w:tcPr>
          <w:p w14:paraId="10C63E3C" w14:textId="4F4D329C" w:rsidR="006B160F" w:rsidRDefault="006B160F" w:rsidP="001E7488">
            <w:pPr>
              <w:ind w:left="-105"/>
              <w:rPr>
                <w:bCs/>
                <w:sz w:val="12"/>
                <w:szCs w:val="12"/>
                <w:lang w:val="en-GB"/>
              </w:rPr>
            </w:pPr>
            <w:r>
              <w:rPr>
                <w:bCs/>
                <w:sz w:val="12"/>
                <w:szCs w:val="12"/>
                <w:lang w:val="en-GB"/>
              </w:rPr>
              <w:t>Test run</w:t>
            </w:r>
            <w:r w:rsidR="00A634AD">
              <w:rPr>
                <w:bCs/>
                <w:sz w:val="12"/>
                <w:szCs w:val="12"/>
                <w:lang w:val="en-GB"/>
              </w:rPr>
              <w:t xml:space="preserve"> </w:t>
            </w:r>
            <w:r>
              <w:rPr>
                <w:bCs/>
                <w:sz w:val="12"/>
                <w:szCs w:val="12"/>
                <w:lang w:val="en-GB"/>
              </w:rPr>
              <w:t>invalid</w:t>
            </w:r>
          </w:p>
        </w:tc>
        <w:tc>
          <w:tcPr>
            <w:tcW w:w="1276" w:type="dxa"/>
            <w:tcBorders>
              <w:top w:val="single" w:sz="8" w:space="0" w:color="auto"/>
            </w:tcBorders>
            <w:vAlign w:val="center"/>
          </w:tcPr>
          <w:p w14:paraId="204E364D" w14:textId="3B8C307F" w:rsidR="006B160F" w:rsidRDefault="006B160F" w:rsidP="001E7488">
            <w:pPr>
              <w:ind w:left="-111"/>
              <w:rPr>
                <w:bCs/>
                <w:sz w:val="12"/>
                <w:szCs w:val="12"/>
                <w:lang w:val="en-GB"/>
              </w:rPr>
            </w:pPr>
            <w:r>
              <w:rPr>
                <w:bCs/>
                <w:sz w:val="12"/>
                <w:szCs w:val="12"/>
                <w:lang w:val="en-GB"/>
              </w:rPr>
              <w:t>Delayed result</w:t>
            </w:r>
          </w:p>
        </w:tc>
        <w:tc>
          <w:tcPr>
            <w:tcW w:w="1559" w:type="dxa"/>
            <w:tcBorders>
              <w:top w:val="single" w:sz="8" w:space="0" w:color="auto"/>
            </w:tcBorders>
            <w:vAlign w:val="center"/>
          </w:tcPr>
          <w:p w14:paraId="7385EBC8" w14:textId="2230C85E" w:rsidR="006B160F" w:rsidRDefault="006B160F" w:rsidP="001E7488">
            <w:pPr>
              <w:ind w:left="-109"/>
              <w:rPr>
                <w:bCs/>
                <w:sz w:val="12"/>
                <w:szCs w:val="12"/>
                <w:lang w:val="en-GB"/>
              </w:rPr>
            </w:pPr>
            <w:r>
              <w:rPr>
                <w:bCs/>
                <w:sz w:val="12"/>
                <w:szCs w:val="12"/>
                <w:lang w:val="en-GB"/>
              </w:rPr>
              <w:t>Delayed diagnosis/therapy</w:t>
            </w:r>
          </w:p>
        </w:tc>
        <w:tc>
          <w:tcPr>
            <w:tcW w:w="2268" w:type="dxa"/>
            <w:vMerge/>
            <w:vAlign w:val="center"/>
          </w:tcPr>
          <w:p w14:paraId="73B34041" w14:textId="77777777" w:rsidR="006B160F" w:rsidRDefault="006B160F" w:rsidP="001E7488">
            <w:pPr>
              <w:ind w:left="-106"/>
              <w:rPr>
                <w:bCs/>
                <w:sz w:val="12"/>
                <w:szCs w:val="12"/>
                <w:lang w:val="en-GB"/>
              </w:rPr>
            </w:pPr>
          </w:p>
        </w:tc>
        <w:tc>
          <w:tcPr>
            <w:tcW w:w="803" w:type="dxa"/>
            <w:vMerge/>
            <w:vAlign w:val="center"/>
          </w:tcPr>
          <w:p w14:paraId="3EB4ED55" w14:textId="77777777" w:rsidR="006B160F" w:rsidRDefault="006B160F" w:rsidP="001E7488">
            <w:pPr>
              <w:rPr>
                <w:bCs/>
                <w:sz w:val="12"/>
                <w:szCs w:val="12"/>
                <w:lang w:val="en-GB"/>
              </w:rPr>
            </w:pPr>
          </w:p>
        </w:tc>
        <w:tc>
          <w:tcPr>
            <w:tcW w:w="331" w:type="dxa"/>
            <w:tcBorders>
              <w:top w:val="single" w:sz="8" w:space="0" w:color="auto"/>
            </w:tcBorders>
            <w:vAlign w:val="center"/>
          </w:tcPr>
          <w:p w14:paraId="3E01A920" w14:textId="637A4B80" w:rsidR="006B160F" w:rsidRDefault="006B160F" w:rsidP="001E7488">
            <w:pPr>
              <w:ind w:left="-60"/>
              <w:jc w:val="center"/>
              <w:rPr>
                <w:bCs/>
                <w:sz w:val="12"/>
                <w:szCs w:val="12"/>
                <w:lang w:val="en-GB"/>
              </w:rPr>
            </w:pPr>
            <w:r>
              <w:rPr>
                <w:bCs/>
                <w:sz w:val="12"/>
                <w:szCs w:val="12"/>
                <w:lang w:val="en-GB"/>
              </w:rPr>
              <w:t>2</w:t>
            </w:r>
          </w:p>
        </w:tc>
        <w:tc>
          <w:tcPr>
            <w:tcW w:w="283" w:type="dxa"/>
            <w:tcBorders>
              <w:top w:val="single" w:sz="8" w:space="0" w:color="auto"/>
            </w:tcBorders>
            <w:vAlign w:val="center"/>
          </w:tcPr>
          <w:p w14:paraId="60C202E5" w14:textId="65AF4E4E" w:rsidR="006B160F" w:rsidRDefault="006B160F" w:rsidP="001E7488">
            <w:pPr>
              <w:ind w:left="-109"/>
              <w:jc w:val="center"/>
              <w:rPr>
                <w:bCs/>
                <w:sz w:val="12"/>
                <w:szCs w:val="12"/>
                <w:lang w:val="en-GB"/>
              </w:rPr>
            </w:pPr>
            <w:r>
              <w:rPr>
                <w:bCs/>
                <w:sz w:val="12"/>
                <w:szCs w:val="12"/>
                <w:lang w:val="en-GB"/>
              </w:rPr>
              <w:t>1</w:t>
            </w:r>
          </w:p>
        </w:tc>
      </w:tr>
      <w:tr w:rsidR="003C4FC1" w:rsidRPr="00B650F3" w14:paraId="31889A60" w14:textId="77777777" w:rsidTr="001E7488">
        <w:trPr>
          <w:trHeight w:val="420"/>
        </w:trPr>
        <w:tc>
          <w:tcPr>
            <w:tcW w:w="1696" w:type="dxa"/>
            <w:vMerge w:val="restart"/>
          </w:tcPr>
          <w:p w14:paraId="0F80FB25" w14:textId="3EFA0A8A" w:rsidR="003C4FC1" w:rsidRDefault="003C4FC1" w:rsidP="003C4FC1">
            <w:pPr>
              <w:rPr>
                <w:bCs/>
                <w:sz w:val="12"/>
                <w:szCs w:val="12"/>
                <w:lang w:val="en-GB"/>
              </w:rPr>
            </w:pPr>
            <w:r>
              <w:rPr>
                <w:bCs/>
                <w:sz w:val="12"/>
                <w:szCs w:val="12"/>
                <w:lang w:val="en-GB"/>
              </w:rPr>
              <w:t>Kit components: false/ incomplete composition or storage</w:t>
            </w:r>
          </w:p>
        </w:tc>
        <w:tc>
          <w:tcPr>
            <w:tcW w:w="851" w:type="dxa"/>
            <w:vAlign w:val="center"/>
          </w:tcPr>
          <w:p w14:paraId="622F6479" w14:textId="6E12A217" w:rsidR="003C4FC1" w:rsidRDefault="003C4FC1" w:rsidP="001E7488">
            <w:pPr>
              <w:ind w:left="-105"/>
              <w:rPr>
                <w:bCs/>
                <w:sz w:val="12"/>
                <w:szCs w:val="12"/>
                <w:lang w:val="en-GB"/>
              </w:rPr>
            </w:pPr>
            <w:r>
              <w:rPr>
                <w:bCs/>
                <w:sz w:val="12"/>
                <w:szCs w:val="12"/>
                <w:lang w:val="en-GB"/>
              </w:rPr>
              <w:t>False result</w:t>
            </w:r>
          </w:p>
        </w:tc>
        <w:tc>
          <w:tcPr>
            <w:tcW w:w="1276" w:type="dxa"/>
            <w:vAlign w:val="center"/>
          </w:tcPr>
          <w:p w14:paraId="4F2E7256" w14:textId="5BE14B0F" w:rsidR="003C4FC1" w:rsidRDefault="003C4FC1" w:rsidP="001E7488">
            <w:pPr>
              <w:ind w:left="-111"/>
              <w:rPr>
                <w:bCs/>
                <w:sz w:val="12"/>
                <w:szCs w:val="12"/>
                <w:lang w:val="en-GB"/>
              </w:rPr>
            </w:pPr>
            <w:r>
              <w:rPr>
                <w:bCs/>
                <w:sz w:val="12"/>
                <w:szCs w:val="12"/>
                <w:lang w:val="en-GB"/>
              </w:rPr>
              <w:t>Erroneous result</w:t>
            </w:r>
          </w:p>
        </w:tc>
        <w:tc>
          <w:tcPr>
            <w:tcW w:w="1559" w:type="dxa"/>
            <w:vAlign w:val="center"/>
          </w:tcPr>
          <w:p w14:paraId="43E53B29" w14:textId="6D095E48" w:rsidR="003C4FC1" w:rsidRDefault="003C4FC1" w:rsidP="001E7488">
            <w:pPr>
              <w:ind w:left="-109"/>
              <w:rPr>
                <w:bCs/>
                <w:sz w:val="12"/>
                <w:szCs w:val="12"/>
                <w:lang w:val="en-GB"/>
              </w:rPr>
            </w:pPr>
            <w:r>
              <w:rPr>
                <w:bCs/>
                <w:sz w:val="12"/>
                <w:szCs w:val="12"/>
                <w:lang w:val="en-GB"/>
              </w:rPr>
              <w:t>False diagnosis/therapy</w:t>
            </w:r>
          </w:p>
        </w:tc>
        <w:tc>
          <w:tcPr>
            <w:tcW w:w="2268" w:type="dxa"/>
            <w:vMerge w:val="restart"/>
            <w:vAlign w:val="center"/>
          </w:tcPr>
          <w:p w14:paraId="4C1B7FA4" w14:textId="15AF1C11" w:rsidR="003C4FC1" w:rsidRDefault="003C4FC1" w:rsidP="001E7488">
            <w:pPr>
              <w:ind w:left="-106"/>
              <w:rPr>
                <w:bCs/>
                <w:sz w:val="12"/>
                <w:szCs w:val="12"/>
                <w:lang w:val="en-GB"/>
              </w:rPr>
            </w:pPr>
            <w:r>
              <w:rPr>
                <w:bCs/>
                <w:sz w:val="12"/>
                <w:szCs w:val="12"/>
                <w:lang w:val="en-GB"/>
              </w:rPr>
              <w:t xml:space="preserve">Only use kits </w:t>
            </w:r>
            <w:r w:rsidR="00DE6837">
              <w:rPr>
                <w:bCs/>
                <w:sz w:val="12"/>
                <w:szCs w:val="12"/>
                <w:lang w:val="en-GB"/>
              </w:rPr>
              <w:t>within one</w:t>
            </w:r>
            <w:r>
              <w:rPr>
                <w:bCs/>
                <w:sz w:val="12"/>
                <w:szCs w:val="12"/>
                <w:lang w:val="en-GB"/>
              </w:rPr>
              <w:t xml:space="preserve"> batch | Generally only </w:t>
            </w:r>
            <w:r w:rsidR="00A634AD">
              <w:rPr>
                <w:bCs/>
                <w:sz w:val="12"/>
                <w:szCs w:val="12"/>
                <w:lang w:val="en-GB"/>
              </w:rPr>
              <w:t>rely on</w:t>
            </w:r>
            <w:r>
              <w:rPr>
                <w:bCs/>
                <w:sz w:val="12"/>
                <w:szCs w:val="12"/>
                <w:lang w:val="en-GB"/>
              </w:rPr>
              <w:t xml:space="preserve"> reagents from one kit (no “</w:t>
            </w:r>
            <w:r w:rsidR="00A634AD">
              <w:rPr>
                <w:bCs/>
                <w:sz w:val="12"/>
                <w:szCs w:val="12"/>
                <w:lang w:val="en-GB"/>
              </w:rPr>
              <w:t>stealing</w:t>
            </w:r>
            <w:r>
              <w:rPr>
                <w:bCs/>
                <w:sz w:val="12"/>
                <w:szCs w:val="12"/>
                <w:lang w:val="en-GB"/>
              </w:rPr>
              <w:t xml:space="preserve">” | systematically </w:t>
            </w:r>
            <w:r w:rsidR="00A634AD">
              <w:rPr>
                <w:bCs/>
                <w:sz w:val="12"/>
                <w:szCs w:val="12"/>
                <w:lang w:val="en-GB"/>
              </w:rPr>
              <w:t>run</w:t>
            </w:r>
            <w:r>
              <w:rPr>
                <w:bCs/>
                <w:sz w:val="12"/>
                <w:szCs w:val="12"/>
                <w:lang w:val="en-GB"/>
              </w:rPr>
              <w:t xml:space="preserve"> whole, half or a third of a plate | </w:t>
            </w:r>
            <w:r w:rsidR="00DA1FCA">
              <w:rPr>
                <w:bCs/>
                <w:sz w:val="12"/>
                <w:szCs w:val="12"/>
                <w:lang w:val="en-GB"/>
              </w:rPr>
              <w:t>aliquot</w:t>
            </w:r>
            <w:r w:rsidR="00CD7374">
              <w:rPr>
                <w:bCs/>
                <w:sz w:val="12"/>
                <w:szCs w:val="12"/>
                <w:lang w:val="en-GB"/>
              </w:rPr>
              <w:t xml:space="preserve"> </w:t>
            </w:r>
            <w:r>
              <w:rPr>
                <w:bCs/>
                <w:sz w:val="12"/>
                <w:szCs w:val="12"/>
                <w:lang w:val="en-GB"/>
              </w:rPr>
              <w:t xml:space="preserve">opened reagents/controls </w:t>
            </w:r>
            <w:r w:rsidR="00DA1FCA">
              <w:rPr>
                <w:bCs/>
                <w:sz w:val="12"/>
                <w:szCs w:val="12"/>
                <w:lang w:val="en-GB"/>
              </w:rPr>
              <w:t>to</w:t>
            </w:r>
            <w:r>
              <w:rPr>
                <w:bCs/>
                <w:sz w:val="12"/>
                <w:szCs w:val="12"/>
                <w:lang w:val="en-GB"/>
              </w:rPr>
              <w:t xml:space="preserve"> store as one-shots.</w:t>
            </w:r>
          </w:p>
        </w:tc>
        <w:tc>
          <w:tcPr>
            <w:tcW w:w="803" w:type="dxa"/>
            <w:vMerge w:val="restart"/>
            <w:vAlign w:val="center"/>
          </w:tcPr>
          <w:p w14:paraId="55FC980F" w14:textId="7345FF66" w:rsidR="003C4FC1" w:rsidRDefault="003C4FC1" w:rsidP="001E7488">
            <w:pPr>
              <w:rPr>
                <w:bCs/>
                <w:sz w:val="12"/>
                <w:szCs w:val="12"/>
                <w:lang w:val="en-GB"/>
              </w:rPr>
            </w:pPr>
            <w:r>
              <w:rPr>
                <w:bCs/>
                <w:sz w:val="12"/>
                <w:szCs w:val="12"/>
                <w:lang w:val="en-GB"/>
              </w:rPr>
              <w:t>AA-GH-013</w:t>
            </w:r>
          </w:p>
        </w:tc>
        <w:tc>
          <w:tcPr>
            <w:tcW w:w="331" w:type="dxa"/>
            <w:vAlign w:val="center"/>
          </w:tcPr>
          <w:p w14:paraId="56625D5A" w14:textId="5F63F3C0" w:rsidR="003C4FC1" w:rsidRDefault="003C4FC1" w:rsidP="001E7488">
            <w:pPr>
              <w:ind w:left="-60"/>
              <w:jc w:val="center"/>
              <w:rPr>
                <w:bCs/>
                <w:sz w:val="12"/>
                <w:szCs w:val="12"/>
                <w:lang w:val="en-GB"/>
              </w:rPr>
            </w:pPr>
            <w:r>
              <w:rPr>
                <w:bCs/>
                <w:sz w:val="12"/>
                <w:szCs w:val="12"/>
                <w:lang w:val="en-GB"/>
              </w:rPr>
              <w:t>1</w:t>
            </w:r>
          </w:p>
        </w:tc>
        <w:tc>
          <w:tcPr>
            <w:tcW w:w="283" w:type="dxa"/>
            <w:vAlign w:val="center"/>
          </w:tcPr>
          <w:p w14:paraId="16A420BC" w14:textId="188AE4CB" w:rsidR="003C4FC1" w:rsidRDefault="003C4FC1" w:rsidP="001E7488">
            <w:pPr>
              <w:ind w:left="-109"/>
              <w:jc w:val="center"/>
              <w:rPr>
                <w:bCs/>
                <w:sz w:val="12"/>
                <w:szCs w:val="12"/>
                <w:lang w:val="en-GB"/>
              </w:rPr>
            </w:pPr>
            <w:r>
              <w:rPr>
                <w:bCs/>
                <w:sz w:val="12"/>
                <w:szCs w:val="12"/>
                <w:lang w:val="en-GB"/>
              </w:rPr>
              <w:t>3</w:t>
            </w:r>
          </w:p>
        </w:tc>
      </w:tr>
      <w:tr w:rsidR="003C4FC1" w:rsidRPr="00B650F3" w14:paraId="5C117631" w14:textId="77777777" w:rsidTr="001E7488">
        <w:tc>
          <w:tcPr>
            <w:tcW w:w="1696" w:type="dxa"/>
            <w:vMerge/>
          </w:tcPr>
          <w:p w14:paraId="3F97A0B0" w14:textId="77777777" w:rsidR="003C4FC1" w:rsidRDefault="003C4FC1" w:rsidP="006B160F">
            <w:pPr>
              <w:jc w:val="both"/>
              <w:rPr>
                <w:bCs/>
                <w:sz w:val="12"/>
                <w:szCs w:val="12"/>
                <w:lang w:val="en-GB"/>
              </w:rPr>
            </w:pPr>
          </w:p>
        </w:tc>
        <w:tc>
          <w:tcPr>
            <w:tcW w:w="851" w:type="dxa"/>
            <w:vAlign w:val="center"/>
          </w:tcPr>
          <w:p w14:paraId="36FC5B47" w14:textId="0EA8D37F" w:rsidR="003C4FC1" w:rsidRDefault="003C4FC1" w:rsidP="001E7488">
            <w:pPr>
              <w:ind w:left="-105"/>
              <w:rPr>
                <w:bCs/>
                <w:sz w:val="12"/>
                <w:szCs w:val="12"/>
                <w:lang w:val="en-GB"/>
              </w:rPr>
            </w:pPr>
            <w:r>
              <w:rPr>
                <w:bCs/>
                <w:sz w:val="12"/>
                <w:szCs w:val="12"/>
                <w:lang w:val="en-GB"/>
              </w:rPr>
              <w:t>Test run invalid</w:t>
            </w:r>
          </w:p>
        </w:tc>
        <w:tc>
          <w:tcPr>
            <w:tcW w:w="1276" w:type="dxa"/>
            <w:vAlign w:val="center"/>
          </w:tcPr>
          <w:p w14:paraId="0A467662" w14:textId="7DC65DAA" w:rsidR="003C4FC1" w:rsidRDefault="003C4FC1" w:rsidP="001E7488">
            <w:pPr>
              <w:ind w:left="-111"/>
              <w:rPr>
                <w:bCs/>
                <w:sz w:val="12"/>
                <w:szCs w:val="12"/>
                <w:lang w:val="en-GB"/>
              </w:rPr>
            </w:pPr>
            <w:r>
              <w:rPr>
                <w:bCs/>
                <w:sz w:val="12"/>
                <w:szCs w:val="12"/>
                <w:lang w:val="en-GB"/>
              </w:rPr>
              <w:t>Delayed result</w:t>
            </w:r>
          </w:p>
        </w:tc>
        <w:tc>
          <w:tcPr>
            <w:tcW w:w="1559" w:type="dxa"/>
            <w:vAlign w:val="center"/>
          </w:tcPr>
          <w:p w14:paraId="4C383AEF" w14:textId="3E043B3E" w:rsidR="003C4FC1" w:rsidRDefault="003C4FC1" w:rsidP="001E7488">
            <w:pPr>
              <w:ind w:left="-109"/>
              <w:rPr>
                <w:bCs/>
                <w:sz w:val="12"/>
                <w:szCs w:val="12"/>
                <w:lang w:val="en-GB"/>
              </w:rPr>
            </w:pPr>
            <w:r>
              <w:rPr>
                <w:bCs/>
                <w:sz w:val="12"/>
                <w:szCs w:val="12"/>
                <w:lang w:val="en-GB"/>
              </w:rPr>
              <w:t>Delayed diagnosis/therapy</w:t>
            </w:r>
          </w:p>
        </w:tc>
        <w:tc>
          <w:tcPr>
            <w:tcW w:w="2268" w:type="dxa"/>
            <w:vMerge/>
            <w:vAlign w:val="center"/>
          </w:tcPr>
          <w:p w14:paraId="2439B88B" w14:textId="77777777" w:rsidR="003C4FC1" w:rsidRDefault="003C4FC1" w:rsidP="001E7488">
            <w:pPr>
              <w:ind w:left="-106"/>
              <w:rPr>
                <w:bCs/>
                <w:sz w:val="12"/>
                <w:szCs w:val="12"/>
                <w:lang w:val="en-GB"/>
              </w:rPr>
            </w:pPr>
          </w:p>
        </w:tc>
        <w:tc>
          <w:tcPr>
            <w:tcW w:w="803" w:type="dxa"/>
            <w:vMerge/>
            <w:vAlign w:val="center"/>
          </w:tcPr>
          <w:p w14:paraId="55697E8B" w14:textId="77777777" w:rsidR="003C4FC1" w:rsidRDefault="003C4FC1" w:rsidP="001E7488">
            <w:pPr>
              <w:rPr>
                <w:bCs/>
                <w:sz w:val="12"/>
                <w:szCs w:val="12"/>
                <w:lang w:val="en-GB"/>
              </w:rPr>
            </w:pPr>
          </w:p>
        </w:tc>
        <w:tc>
          <w:tcPr>
            <w:tcW w:w="331" w:type="dxa"/>
            <w:vAlign w:val="center"/>
          </w:tcPr>
          <w:p w14:paraId="4B28705D" w14:textId="237803A2" w:rsidR="003C4FC1" w:rsidRDefault="003C4FC1" w:rsidP="001E7488">
            <w:pPr>
              <w:ind w:left="-60"/>
              <w:jc w:val="center"/>
              <w:rPr>
                <w:bCs/>
                <w:sz w:val="12"/>
                <w:szCs w:val="12"/>
                <w:lang w:val="en-GB"/>
              </w:rPr>
            </w:pPr>
            <w:r>
              <w:rPr>
                <w:bCs/>
                <w:sz w:val="12"/>
                <w:szCs w:val="12"/>
                <w:lang w:val="en-GB"/>
              </w:rPr>
              <w:t>2</w:t>
            </w:r>
          </w:p>
        </w:tc>
        <w:tc>
          <w:tcPr>
            <w:tcW w:w="283" w:type="dxa"/>
            <w:vAlign w:val="center"/>
          </w:tcPr>
          <w:p w14:paraId="696B7FC4" w14:textId="4E30270E" w:rsidR="003C4FC1" w:rsidRDefault="003C4FC1" w:rsidP="001E7488">
            <w:pPr>
              <w:ind w:left="-109"/>
              <w:jc w:val="center"/>
              <w:rPr>
                <w:bCs/>
                <w:sz w:val="12"/>
                <w:szCs w:val="12"/>
                <w:lang w:val="en-GB"/>
              </w:rPr>
            </w:pPr>
            <w:r>
              <w:rPr>
                <w:bCs/>
                <w:sz w:val="12"/>
                <w:szCs w:val="12"/>
                <w:lang w:val="en-GB"/>
              </w:rPr>
              <w:t>1</w:t>
            </w:r>
          </w:p>
        </w:tc>
      </w:tr>
      <w:tr w:rsidR="003C4FC1" w:rsidRPr="00B650F3" w14:paraId="03ED8F0D" w14:textId="77777777" w:rsidTr="001E7488">
        <w:trPr>
          <w:trHeight w:val="420"/>
        </w:trPr>
        <w:tc>
          <w:tcPr>
            <w:tcW w:w="1696" w:type="dxa"/>
            <w:vMerge w:val="restart"/>
          </w:tcPr>
          <w:p w14:paraId="26CA500C" w14:textId="3F20C3EF" w:rsidR="003C4FC1" w:rsidRDefault="003C4FC1" w:rsidP="00F1777E">
            <w:pPr>
              <w:rPr>
                <w:bCs/>
                <w:sz w:val="12"/>
                <w:szCs w:val="12"/>
                <w:lang w:val="en-GB"/>
              </w:rPr>
            </w:pPr>
            <w:r>
              <w:rPr>
                <w:bCs/>
                <w:sz w:val="12"/>
                <w:szCs w:val="12"/>
                <w:lang w:val="en-GB"/>
              </w:rPr>
              <w:t>Error in cleaning process</w:t>
            </w:r>
          </w:p>
        </w:tc>
        <w:tc>
          <w:tcPr>
            <w:tcW w:w="851" w:type="dxa"/>
            <w:vAlign w:val="center"/>
          </w:tcPr>
          <w:p w14:paraId="3A6DADF5" w14:textId="77777777" w:rsidR="003C4FC1" w:rsidRDefault="003C4FC1" w:rsidP="001E7488">
            <w:pPr>
              <w:ind w:left="-105"/>
              <w:rPr>
                <w:bCs/>
                <w:sz w:val="12"/>
                <w:szCs w:val="12"/>
                <w:lang w:val="en-GB"/>
              </w:rPr>
            </w:pPr>
            <w:r>
              <w:rPr>
                <w:bCs/>
                <w:sz w:val="12"/>
                <w:szCs w:val="12"/>
                <w:lang w:val="en-GB"/>
              </w:rPr>
              <w:t>False result</w:t>
            </w:r>
          </w:p>
        </w:tc>
        <w:tc>
          <w:tcPr>
            <w:tcW w:w="1276" w:type="dxa"/>
            <w:vAlign w:val="center"/>
          </w:tcPr>
          <w:p w14:paraId="1CB7626D" w14:textId="77777777" w:rsidR="003C4FC1" w:rsidRDefault="003C4FC1" w:rsidP="001E7488">
            <w:pPr>
              <w:ind w:left="-111"/>
              <w:rPr>
                <w:bCs/>
                <w:sz w:val="12"/>
                <w:szCs w:val="12"/>
                <w:lang w:val="en-GB"/>
              </w:rPr>
            </w:pPr>
            <w:r>
              <w:rPr>
                <w:bCs/>
                <w:sz w:val="12"/>
                <w:szCs w:val="12"/>
                <w:lang w:val="en-GB"/>
              </w:rPr>
              <w:t>Erroneous result</w:t>
            </w:r>
          </w:p>
        </w:tc>
        <w:tc>
          <w:tcPr>
            <w:tcW w:w="1559" w:type="dxa"/>
            <w:vAlign w:val="center"/>
          </w:tcPr>
          <w:p w14:paraId="4247C1F2" w14:textId="77777777" w:rsidR="003C4FC1" w:rsidRDefault="003C4FC1" w:rsidP="001E7488">
            <w:pPr>
              <w:ind w:left="-109"/>
              <w:rPr>
                <w:bCs/>
                <w:sz w:val="12"/>
                <w:szCs w:val="12"/>
                <w:lang w:val="en-GB"/>
              </w:rPr>
            </w:pPr>
            <w:r>
              <w:rPr>
                <w:bCs/>
                <w:sz w:val="12"/>
                <w:szCs w:val="12"/>
                <w:lang w:val="en-GB"/>
              </w:rPr>
              <w:t>False diagnosis/therapy</w:t>
            </w:r>
          </w:p>
        </w:tc>
        <w:tc>
          <w:tcPr>
            <w:tcW w:w="2268" w:type="dxa"/>
            <w:vMerge w:val="restart"/>
            <w:vAlign w:val="center"/>
          </w:tcPr>
          <w:p w14:paraId="55E82C4A" w14:textId="4303004F" w:rsidR="003C4FC1" w:rsidRDefault="008D5D77" w:rsidP="001E7488">
            <w:pPr>
              <w:ind w:left="-106"/>
              <w:rPr>
                <w:bCs/>
                <w:sz w:val="12"/>
                <w:szCs w:val="12"/>
                <w:lang w:val="en-GB"/>
              </w:rPr>
            </w:pPr>
            <w:r>
              <w:rPr>
                <w:bCs/>
                <w:sz w:val="12"/>
                <w:szCs w:val="12"/>
                <w:lang w:val="en-GB"/>
              </w:rPr>
              <w:t>Prepare</w:t>
            </w:r>
            <w:r w:rsidR="003C4FC1">
              <w:rPr>
                <w:bCs/>
                <w:sz w:val="12"/>
                <w:szCs w:val="12"/>
                <w:lang w:val="en-GB"/>
              </w:rPr>
              <w:t xml:space="preserve"> new washing solution or bring to RT before use</w:t>
            </w:r>
            <w:r>
              <w:rPr>
                <w:bCs/>
                <w:sz w:val="12"/>
                <w:szCs w:val="12"/>
                <w:lang w:val="en-GB"/>
              </w:rPr>
              <w:t xml:space="preserve"> | Prime washer before every washing process | Service washer daily | Regularly check/service washer</w:t>
            </w:r>
          </w:p>
        </w:tc>
        <w:tc>
          <w:tcPr>
            <w:tcW w:w="803" w:type="dxa"/>
            <w:vMerge w:val="restart"/>
            <w:vAlign w:val="center"/>
          </w:tcPr>
          <w:p w14:paraId="46F808BF" w14:textId="5C94DE2D" w:rsidR="003C4FC1" w:rsidRDefault="003C4FC1" w:rsidP="001E7488">
            <w:pPr>
              <w:rPr>
                <w:bCs/>
                <w:sz w:val="12"/>
                <w:szCs w:val="12"/>
                <w:lang w:val="en-GB"/>
              </w:rPr>
            </w:pPr>
            <w:r>
              <w:rPr>
                <w:bCs/>
                <w:sz w:val="12"/>
                <w:szCs w:val="12"/>
                <w:lang w:val="en-GB"/>
              </w:rPr>
              <w:t>AA-GH-013</w:t>
            </w:r>
            <w:r w:rsidR="008D5D77">
              <w:rPr>
                <w:bCs/>
                <w:sz w:val="12"/>
                <w:szCs w:val="12"/>
                <w:lang w:val="en-GB"/>
              </w:rPr>
              <w:t xml:space="preserve"> | AG-GH-214</w:t>
            </w:r>
          </w:p>
        </w:tc>
        <w:tc>
          <w:tcPr>
            <w:tcW w:w="331" w:type="dxa"/>
          </w:tcPr>
          <w:p w14:paraId="34745683" w14:textId="77777777" w:rsidR="003C4FC1" w:rsidRDefault="003C4FC1" w:rsidP="001E7488">
            <w:pPr>
              <w:ind w:left="-60"/>
              <w:jc w:val="center"/>
              <w:rPr>
                <w:bCs/>
                <w:sz w:val="12"/>
                <w:szCs w:val="12"/>
                <w:lang w:val="en-GB"/>
              </w:rPr>
            </w:pPr>
            <w:r>
              <w:rPr>
                <w:bCs/>
                <w:sz w:val="12"/>
                <w:szCs w:val="12"/>
                <w:lang w:val="en-GB"/>
              </w:rPr>
              <w:t>1</w:t>
            </w:r>
          </w:p>
        </w:tc>
        <w:tc>
          <w:tcPr>
            <w:tcW w:w="283" w:type="dxa"/>
          </w:tcPr>
          <w:p w14:paraId="6E27B23C" w14:textId="77777777" w:rsidR="003C4FC1" w:rsidRDefault="003C4FC1" w:rsidP="001E7488">
            <w:pPr>
              <w:ind w:left="-109"/>
              <w:jc w:val="center"/>
              <w:rPr>
                <w:bCs/>
                <w:sz w:val="12"/>
                <w:szCs w:val="12"/>
                <w:lang w:val="en-GB"/>
              </w:rPr>
            </w:pPr>
            <w:r>
              <w:rPr>
                <w:bCs/>
                <w:sz w:val="12"/>
                <w:szCs w:val="12"/>
                <w:lang w:val="en-GB"/>
              </w:rPr>
              <w:t>3</w:t>
            </w:r>
          </w:p>
        </w:tc>
      </w:tr>
      <w:tr w:rsidR="003C4FC1" w:rsidRPr="00B650F3" w14:paraId="78BA2DF5" w14:textId="77777777" w:rsidTr="001E7488">
        <w:tc>
          <w:tcPr>
            <w:tcW w:w="1696" w:type="dxa"/>
            <w:vMerge/>
          </w:tcPr>
          <w:p w14:paraId="4B95A4E3" w14:textId="77777777" w:rsidR="003C4FC1" w:rsidRDefault="003C4FC1" w:rsidP="00F1777E">
            <w:pPr>
              <w:jc w:val="both"/>
              <w:rPr>
                <w:bCs/>
                <w:sz w:val="12"/>
                <w:szCs w:val="12"/>
                <w:lang w:val="en-GB"/>
              </w:rPr>
            </w:pPr>
          </w:p>
        </w:tc>
        <w:tc>
          <w:tcPr>
            <w:tcW w:w="851" w:type="dxa"/>
            <w:vAlign w:val="center"/>
          </w:tcPr>
          <w:p w14:paraId="46E37706" w14:textId="77777777" w:rsidR="003C4FC1" w:rsidRDefault="003C4FC1" w:rsidP="001E7488">
            <w:pPr>
              <w:ind w:left="-105"/>
              <w:rPr>
                <w:bCs/>
                <w:sz w:val="12"/>
                <w:szCs w:val="12"/>
                <w:lang w:val="en-GB"/>
              </w:rPr>
            </w:pPr>
            <w:r>
              <w:rPr>
                <w:bCs/>
                <w:sz w:val="12"/>
                <w:szCs w:val="12"/>
                <w:lang w:val="en-GB"/>
              </w:rPr>
              <w:t>Test run invalid</w:t>
            </w:r>
          </w:p>
        </w:tc>
        <w:tc>
          <w:tcPr>
            <w:tcW w:w="1276" w:type="dxa"/>
            <w:vAlign w:val="center"/>
          </w:tcPr>
          <w:p w14:paraId="1F5A03DD" w14:textId="77777777" w:rsidR="003C4FC1" w:rsidRDefault="003C4FC1" w:rsidP="001E7488">
            <w:pPr>
              <w:ind w:left="-111"/>
              <w:rPr>
                <w:bCs/>
                <w:sz w:val="12"/>
                <w:szCs w:val="12"/>
                <w:lang w:val="en-GB"/>
              </w:rPr>
            </w:pPr>
            <w:r>
              <w:rPr>
                <w:bCs/>
                <w:sz w:val="12"/>
                <w:szCs w:val="12"/>
                <w:lang w:val="en-GB"/>
              </w:rPr>
              <w:t>Delayed result</w:t>
            </w:r>
          </w:p>
        </w:tc>
        <w:tc>
          <w:tcPr>
            <w:tcW w:w="1559" w:type="dxa"/>
            <w:vAlign w:val="center"/>
          </w:tcPr>
          <w:p w14:paraId="5B52F13A" w14:textId="77777777" w:rsidR="003C4FC1" w:rsidRDefault="003C4FC1" w:rsidP="001E7488">
            <w:pPr>
              <w:ind w:left="-109"/>
              <w:rPr>
                <w:bCs/>
                <w:sz w:val="12"/>
                <w:szCs w:val="12"/>
                <w:lang w:val="en-GB"/>
              </w:rPr>
            </w:pPr>
            <w:r>
              <w:rPr>
                <w:bCs/>
                <w:sz w:val="12"/>
                <w:szCs w:val="12"/>
                <w:lang w:val="en-GB"/>
              </w:rPr>
              <w:t>Delayed diagnosis/therapy</w:t>
            </w:r>
          </w:p>
        </w:tc>
        <w:tc>
          <w:tcPr>
            <w:tcW w:w="2268" w:type="dxa"/>
            <w:vMerge/>
            <w:vAlign w:val="center"/>
          </w:tcPr>
          <w:p w14:paraId="17FD23E7" w14:textId="77777777" w:rsidR="003C4FC1" w:rsidRDefault="003C4FC1" w:rsidP="001E7488">
            <w:pPr>
              <w:ind w:left="-106"/>
              <w:rPr>
                <w:bCs/>
                <w:sz w:val="12"/>
                <w:szCs w:val="12"/>
                <w:lang w:val="en-GB"/>
              </w:rPr>
            </w:pPr>
          </w:p>
        </w:tc>
        <w:tc>
          <w:tcPr>
            <w:tcW w:w="803" w:type="dxa"/>
            <w:vMerge/>
            <w:vAlign w:val="center"/>
          </w:tcPr>
          <w:p w14:paraId="6557029F" w14:textId="77777777" w:rsidR="003C4FC1" w:rsidRDefault="003C4FC1" w:rsidP="001E7488">
            <w:pPr>
              <w:rPr>
                <w:bCs/>
                <w:sz w:val="12"/>
                <w:szCs w:val="12"/>
                <w:lang w:val="en-GB"/>
              </w:rPr>
            </w:pPr>
          </w:p>
        </w:tc>
        <w:tc>
          <w:tcPr>
            <w:tcW w:w="331" w:type="dxa"/>
          </w:tcPr>
          <w:p w14:paraId="560C8652" w14:textId="77777777" w:rsidR="003C4FC1" w:rsidRDefault="003C4FC1" w:rsidP="001E7488">
            <w:pPr>
              <w:ind w:left="-60"/>
              <w:jc w:val="center"/>
              <w:rPr>
                <w:bCs/>
                <w:sz w:val="12"/>
                <w:szCs w:val="12"/>
                <w:lang w:val="en-GB"/>
              </w:rPr>
            </w:pPr>
            <w:r>
              <w:rPr>
                <w:bCs/>
                <w:sz w:val="12"/>
                <w:szCs w:val="12"/>
                <w:lang w:val="en-GB"/>
              </w:rPr>
              <w:t>2</w:t>
            </w:r>
          </w:p>
        </w:tc>
        <w:tc>
          <w:tcPr>
            <w:tcW w:w="283" w:type="dxa"/>
          </w:tcPr>
          <w:p w14:paraId="3989DB98" w14:textId="77777777" w:rsidR="003C4FC1" w:rsidRDefault="003C4FC1" w:rsidP="001E7488">
            <w:pPr>
              <w:ind w:left="-109"/>
              <w:jc w:val="center"/>
              <w:rPr>
                <w:bCs/>
                <w:sz w:val="12"/>
                <w:szCs w:val="12"/>
                <w:lang w:val="en-GB"/>
              </w:rPr>
            </w:pPr>
            <w:r>
              <w:rPr>
                <w:bCs/>
                <w:sz w:val="12"/>
                <w:szCs w:val="12"/>
                <w:lang w:val="en-GB"/>
              </w:rPr>
              <w:t>1</w:t>
            </w:r>
          </w:p>
        </w:tc>
      </w:tr>
      <w:tr w:rsidR="008D5D77" w:rsidRPr="00B650F3" w14:paraId="4B29B01E" w14:textId="77777777" w:rsidTr="001E7488">
        <w:trPr>
          <w:trHeight w:val="420"/>
        </w:trPr>
        <w:tc>
          <w:tcPr>
            <w:tcW w:w="1696" w:type="dxa"/>
            <w:vMerge w:val="restart"/>
          </w:tcPr>
          <w:p w14:paraId="7690F493" w14:textId="12941FCB" w:rsidR="008D5D77" w:rsidRDefault="008D5D77" w:rsidP="00F1777E">
            <w:pPr>
              <w:rPr>
                <w:bCs/>
                <w:sz w:val="12"/>
                <w:szCs w:val="12"/>
                <w:lang w:val="en-GB"/>
              </w:rPr>
            </w:pPr>
            <w:r>
              <w:rPr>
                <w:bCs/>
                <w:sz w:val="12"/>
                <w:szCs w:val="12"/>
                <w:lang w:val="en-GB"/>
              </w:rPr>
              <w:t>Error in reading OD values</w:t>
            </w:r>
          </w:p>
        </w:tc>
        <w:tc>
          <w:tcPr>
            <w:tcW w:w="851" w:type="dxa"/>
            <w:vAlign w:val="center"/>
          </w:tcPr>
          <w:p w14:paraId="32039C2C" w14:textId="77777777" w:rsidR="008D5D77" w:rsidRDefault="008D5D77" w:rsidP="001E7488">
            <w:pPr>
              <w:ind w:left="-105"/>
              <w:rPr>
                <w:bCs/>
                <w:sz w:val="12"/>
                <w:szCs w:val="12"/>
                <w:lang w:val="en-GB"/>
              </w:rPr>
            </w:pPr>
            <w:r>
              <w:rPr>
                <w:bCs/>
                <w:sz w:val="12"/>
                <w:szCs w:val="12"/>
                <w:lang w:val="en-GB"/>
              </w:rPr>
              <w:t>False result</w:t>
            </w:r>
          </w:p>
        </w:tc>
        <w:tc>
          <w:tcPr>
            <w:tcW w:w="1276" w:type="dxa"/>
            <w:vAlign w:val="center"/>
          </w:tcPr>
          <w:p w14:paraId="4F8B05B2" w14:textId="77777777" w:rsidR="008D5D77" w:rsidRDefault="008D5D77" w:rsidP="001E7488">
            <w:pPr>
              <w:ind w:left="-111"/>
              <w:rPr>
                <w:bCs/>
                <w:sz w:val="12"/>
                <w:szCs w:val="12"/>
                <w:lang w:val="en-GB"/>
              </w:rPr>
            </w:pPr>
            <w:r>
              <w:rPr>
                <w:bCs/>
                <w:sz w:val="12"/>
                <w:szCs w:val="12"/>
                <w:lang w:val="en-GB"/>
              </w:rPr>
              <w:t>Erroneous result</w:t>
            </w:r>
          </w:p>
        </w:tc>
        <w:tc>
          <w:tcPr>
            <w:tcW w:w="1559" w:type="dxa"/>
            <w:vAlign w:val="center"/>
          </w:tcPr>
          <w:p w14:paraId="236662F8" w14:textId="77777777" w:rsidR="008D5D77" w:rsidRDefault="008D5D77" w:rsidP="001E7488">
            <w:pPr>
              <w:ind w:left="-109"/>
              <w:rPr>
                <w:bCs/>
                <w:sz w:val="12"/>
                <w:szCs w:val="12"/>
                <w:lang w:val="en-GB"/>
              </w:rPr>
            </w:pPr>
            <w:r>
              <w:rPr>
                <w:bCs/>
                <w:sz w:val="12"/>
                <w:szCs w:val="12"/>
                <w:lang w:val="en-GB"/>
              </w:rPr>
              <w:t>False diagnosis/therapy</w:t>
            </w:r>
          </w:p>
        </w:tc>
        <w:tc>
          <w:tcPr>
            <w:tcW w:w="2268" w:type="dxa"/>
            <w:vMerge w:val="restart"/>
            <w:vAlign w:val="center"/>
          </w:tcPr>
          <w:p w14:paraId="29EF8DC0" w14:textId="788092F8" w:rsidR="008D5D77" w:rsidRDefault="008D5D77" w:rsidP="001E7488">
            <w:pPr>
              <w:ind w:left="-106"/>
              <w:rPr>
                <w:bCs/>
                <w:sz w:val="12"/>
                <w:szCs w:val="12"/>
                <w:lang w:val="en-GB"/>
              </w:rPr>
            </w:pPr>
            <w:r>
              <w:rPr>
                <w:bCs/>
                <w:sz w:val="12"/>
                <w:szCs w:val="12"/>
                <w:lang w:val="en-GB"/>
              </w:rPr>
              <w:t>Turn on reader in a timely manner (prewarm lamp) | Make sure correct protocol is used (read-only!) | Check reader regularly (calibration plate).</w:t>
            </w:r>
          </w:p>
        </w:tc>
        <w:tc>
          <w:tcPr>
            <w:tcW w:w="803" w:type="dxa"/>
            <w:vMerge w:val="restart"/>
            <w:vAlign w:val="center"/>
          </w:tcPr>
          <w:p w14:paraId="661DC76E" w14:textId="0D58D3F1" w:rsidR="008D5D77" w:rsidRDefault="008D5D77" w:rsidP="001E7488">
            <w:pPr>
              <w:rPr>
                <w:bCs/>
                <w:sz w:val="12"/>
                <w:szCs w:val="12"/>
                <w:lang w:val="en-GB"/>
              </w:rPr>
            </w:pPr>
            <w:r>
              <w:rPr>
                <w:bCs/>
                <w:sz w:val="12"/>
                <w:szCs w:val="12"/>
                <w:lang w:val="en-GB"/>
              </w:rPr>
              <w:t>AA-GH-013 | AG-GH-101</w:t>
            </w:r>
          </w:p>
        </w:tc>
        <w:tc>
          <w:tcPr>
            <w:tcW w:w="331" w:type="dxa"/>
          </w:tcPr>
          <w:p w14:paraId="1F78A825" w14:textId="77777777" w:rsidR="008D5D77" w:rsidRDefault="008D5D77" w:rsidP="001E7488">
            <w:pPr>
              <w:ind w:left="-60"/>
              <w:jc w:val="center"/>
              <w:rPr>
                <w:bCs/>
                <w:sz w:val="12"/>
                <w:szCs w:val="12"/>
                <w:lang w:val="en-GB"/>
              </w:rPr>
            </w:pPr>
            <w:r>
              <w:rPr>
                <w:bCs/>
                <w:sz w:val="12"/>
                <w:szCs w:val="12"/>
                <w:lang w:val="en-GB"/>
              </w:rPr>
              <w:t>1</w:t>
            </w:r>
          </w:p>
        </w:tc>
        <w:tc>
          <w:tcPr>
            <w:tcW w:w="283" w:type="dxa"/>
          </w:tcPr>
          <w:p w14:paraId="72D75D78" w14:textId="77777777" w:rsidR="008D5D77" w:rsidRDefault="008D5D77" w:rsidP="001E7488">
            <w:pPr>
              <w:ind w:left="-109"/>
              <w:jc w:val="center"/>
              <w:rPr>
                <w:bCs/>
                <w:sz w:val="12"/>
                <w:szCs w:val="12"/>
                <w:lang w:val="en-GB"/>
              </w:rPr>
            </w:pPr>
            <w:r>
              <w:rPr>
                <w:bCs/>
                <w:sz w:val="12"/>
                <w:szCs w:val="12"/>
                <w:lang w:val="en-GB"/>
              </w:rPr>
              <w:t>3</w:t>
            </w:r>
          </w:p>
        </w:tc>
      </w:tr>
      <w:tr w:rsidR="008D5D77" w:rsidRPr="00B650F3" w14:paraId="1784FEDF" w14:textId="77777777" w:rsidTr="001E7488">
        <w:tc>
          <w:tcPr>
            <w:tcW w:w="1696" w:type="dxa"/>
            <w:vMerge/>
          </w:tcPr>
          <w:p w14:paraId="19563B8E" w14:textId="77777777" w:rsidR="008D5D77" w:rsidRDefault="008D5D77" w:rsidP="00F1777E">
            <w:pPr>
              <w:jc w:val="both"/>
              <w:rPr>
                <w:bCs/>
                <w:sz w:val="12"/>
                <w:szCs w:val="12"/>
                <w:lang w:val="en-GB"/>
              </w:rPr>
            </w:pPr>
          </w:p>
        </w:tc>
        <w:tc>
          <w:tcPr>
            <w:tcW w:w="851" w:type="dxa"/>
            <w:vAlign w:val="center"/>
          </w:tcPr>
          <w:p w14:paraId="1C376319" w14:textId="77777777" w:rsidR="008D5D77" w:rsidRDefault="008D5D77" w:rsidP="001E7488">
            <w:pPr>
              <w:ind w:left="-105"/>
              <w:rPr>
                <w:bCs/>
                <w:sz w:val="12"/>
                <w:szCs w:val="12"/>
                <w:lang w:val="en-GB"/>
              </w:rPr>
            </w:pPr>
            <w:r>
              <w:rPr>
                <w:bCs/>
                <w:sz w:val="12"/>
                <w:szCs w:val="12"/>
                <w:lang w:val="en-GB"/>
              </w:rPr>
              <w:t>Test run invalid</w:t>
            </w:r>
          </w:p>
        </w:tc>
        <w:tc>
          <w:tcPr>
            <w:tcW w:w="1276" w:type="dxa"/>
            <w:vAlign w:val="center"/>
          </w:tcPr>
          <w:p w14:paraId="13E16584" w14:textId="77777777" w:rsidR="008D5D77" w:rsidRDefault="008D5D77" w:rsidP="001E7488">
            <w:pPr>
              <w:ind w:left="-111"/>
              <w:rPr>
                <w:bCs/>
                <w:sz w:val="12"/>
                <w:szCs w:val="12"/>
                <w:lang w:val="en-GB"/>
              </w:rPr>
            </w:pPr>
            <w:r>
              <w:rPr>
                <w:bCs/>
                <w:sz w:val="12"/>
                <w:szCs w:val="12"/>
                <w:lang w:val="en-GB"/>
              </w:rPr>
              <w:t>Delayed result</w:t>
            </w:r>
          </w:p>
        </w:tc>
        <w:tc>
          <w:tcPr>
            <w:tcW w:w="1559" w:type="dxa"/>
            <w:vAlign w:val="center"/>
          </w:tcPr>
          <w:p w14:paraId="49002B9B" w14:textId="77777777" w:rsidR="008D5D77" w:rsidRDefault="008D5D77" w:rsidP="001E7488">
            <w:pPr>
              <w:ind w:left="-109"/>
              <w:rPr>
                <w:bCs/>
                <w:sz w:val="12"/>
                <w:szCs w:val="12"/>
                <w:lang w:val="en-GB"/>
              </w:rPr>
            </w:pPr>
            <w:r>
              <w:rPr>
                <w:bCs/>
                <w:sz w:val="12"/>
                <w:szCs w:val="12"/>
                <w:lang w:val="en-GB"/>
              </w:rPr>
              <w:t>Delayed diagnosis/therapy</w:t>
            </w:r>
          </w:p>
        </w:tc>
        <w:tc>
          <w:tcPr>
            <w:tcW w:w="2268" w:type="dxa"/>
            <w:vMerge/>
            <w:vAlign w:val="center"/>
          </w:tcPr>
          <w:p w14:paraId="2695AB0F" w14:textId="77777777" w:rsidR="008D5D77" w:rsidRDefault="008D5D77" w:rsidP="001E7488">
            <w:pPr>
              <w:ind w:left="-106"/>
              <w:rPr>
                <w:bCs/>
                <w:sz w:val="12"/>
                <w:szCs w:val="12"/>
                <w:lang w:val="en-GB"/>
              </w:rPr>
            </w:pPr>
          </w:p>
        </w:tc>
        <w:tc>
          <w:tcPr>
            <w:tcW w:w="803" w:type="dxa"/>
            <w:vMerge/>
            <w:vAlign w:val="center"/>
          </w:tcPr>
          <w:p w14:paraId="56D01871" w14:textId="77777777" w:rsidR="008D5D77" w:rsidRDefault="008D5D77" w:rsidP="001E7488">
            <w:pPr>
              <w:rPr>
                <w:bCs/>
                <w:sz w:val="12"/>
                <w:szCs w:val="12"/>
                <w:lang w:val="en-GB"/>
              </w:rPr>
            </w:pPr>
          </w:p>
        </w:tc>
        <w:tc>
          <w:tcPr>
            <w:tcW w:w="331" w:type="dxa"/>
          </w:tcPr>
          <w:p w14:paraId="08469786" w14:textId="35FE3A18" w:rsidR="008D5D77" w:rsidRDefault="008D5D77" w:rsidP="001E7488">
            <w:pPr>
              <w:ind w:left="-60"/>
              <w:jc w:val="center"/>
              <w:rPr>
                <w:bCs/>
                <w:sz w:val="12"/>
                <w:szCs w:val="12"/>
                <w:lang w:val="en-GB"/>
              </w:rPr>
            </w:pPr>
            <w:r>
              <w:rPr>
                <w:bCs/>
                <w:sz w:val="12"/>
                <w:szCs w:val="12"/>
                <w:lang w:val="en-GB"/>
              </w:rPr>
              <w:t>1</w:t>
            </w:r>
          </w:p>
        </w:tc>
        <w:tc>
          <w:tcPr>
            <w:tcW w:w="283" w:type="dxa"/>
          </w:tcPr>
          <w:p w14:paraId="172F9572" w14:textId="77777777" w:rsidR="008D5D77" w:rsidRDefault="008D5D77" w:rsidP="001E7488">
            <w:pPr>
              <w:ind w:left="-109"/>
              <w:jc w:val="center"/>
              <w:rPr>
                <w:bCs/>
                <w:sz w:val="12"/>
                <w:szCs w:val="12"/>
                <w:lang w:val="en-GB"/>
              </w:rPr>
            </w:pPr>
            <w:r>
              <w:rPr>
                <w:bCs/>
                <w:sz w:val="12"/>
                <w:szCs w:val="12"/>
                <w:lang w:val="en-GB"/>
              </w:rPr>
              <w:t>1</w:t>
            </w:r>
          </w:p>
        </w:tc>
      </w:tr>
      <w:tr w:rsidR="008D5D77" w:rsidRPr="00B650F3" w14:paraId="4D0A9150" w14:textId="77777777" w:rsidTr="001E7488">
        <w:trPr>
          <w:trHeight w:val="420"/>
        </w:trPr>
        <w:tc>
          <w:tcPr>
            <w:tcW w:w="1696" w:type="dxa"/>
          </w:tcPr>
          <w:p w14:paraId="1E013F0F" w14:textId="4C6C031C" w:rsidR="008D5D77" w:rsidRDefault="008D5D77" w:rsidP="00F1777E">
            <w:pPr>
              <w:rPr>
                <w:bCs/>
                <w:sz w:val="12"/>
                <w:szCs w:val="12"/>
                <w:lang w:val="en-GB"/>
              </w:rPr>
            </w:pPr>
            <w:r>
              <w:rPr>
                <w:bCs/>
                <w:sz w:val="12"/>
                <w:szCs w:val="12"/>
                <w:lang w:val="en-GB"/>
              </w:rPr>
              <w:t>Error in manually transferring the quantitative values to the LIS</w:t>
            </w:r>
          </w:p>
        </w:tc>
        <w:tc>
          <w:tcPr>
            <w:tcW w:w="851" w:type="dxa"/>
            <w:vAlign w:val="center"/>
          </w:tcPr>
          <w:p w14:paraId="30DCEA15" w14:textId="77777777" w:rsidR="008D5D77" w:rsidRDefault="008D5D77" w:rsidP="001E7488">
            <w:pPr>
              <w:ind w:left="-105"/>
              <w:rPr>
                <w:bCs/>
                <w:sz w:val="12"/>
                <w:szCs w:val="12"/>
                <w:lang w:val="en-GB"/>
              </w:rPr>
            </w:pPr>
            <w:r>
              <w:rPr>
                <w:bCs/>
                <w:sz w:val="12"/>
                <w:szCs w:val="12"/>
                <w:lang w:val="en-GB"/>
              </w:rPr>
              <w:t>False result</w:t>
            </w:r>
          </w:p>
        </w:tc>
        <w:tc>
          <w:tcPr>
            <w:tcW w:w="1276" w:type="dxa"/>
            <w:vAlign w:val="center"/>
          </w:tcPr>
          <w:p w14:paraId="260CF3FC" w14:textId="77777777" w:rsidR="008D5D77" w:rsidRDefault="008D5D77" w:rsidP="001E7488">
            <w:pPr>
              <w:ind w:left="-111"/>
              <w:rPr>
                <w:bCs/>
                <w:sz w:val="12"/>
                <w:szCs w:val="12"/>
                <w:lang w:val="en-GB"/>
              </w:rPr>
            </w:pPr>
            <w:r>
              <w:rPr>
                <w:bCs/>
                <w:sz w:val="12"/>
                <w:szCs w:val="12"/>
                <w:lang w:val="en-GB"/>
              </w:rPr>
              <w:t>Erroneous result</w:t>
            </w:r>
          </w:p>
        </w:tc>
        <w:tc>
          <w:tcPr>
            <w:tcW w:w="1559" w:type="dxa"/>
            <w:vAlign w:val="center"/>
          </w:tcPr>
          <w:p w14:paraId="59F8C18B" w14:textId="77777777" w:rsidR="008D5D77" w:rsidRDefault="008D5D77" w:rsidP="001E7488">
            <w:pPr>
              <w:ind w:left="-109"/>
              <w:rPr>
                <w:bCs/>
                <w:sz w:val="12"/>
                <w:szCs w:val="12"/>
                <w:lang w:val="en-GB"/>
              </w:rPr>
            </w:pPr>
            <w:r>
              <w:rPr>
                <w:bCs/>
                <w:sz w:val="12"/>
                <w:szCs w:val="12"/>
                <w:lang w:val="en-GB"/>
              </w:rPr>
              <w:t>False diagnosis/therapy</w:t>
            </w:r>
          </w:p>
        </w:tc>
        <w:tc>
          <w:tcPr>
            <w:tcW w:w="2268" w:type="dxa"/>
            <w:vAlign w:val="center"/>
          </w:tcPr>
          <w:p w14:paraId="3725D7C6" w14:textId="08F4A86B" w:rsidR="008D5D77" w:rsidRDefault="008D5D77" w:rsidP="001E7488">
            <w:pPr>
              <w:ind w:left="-106"/>
              <w:rPr>
                <w:bCs/>
                <w:sz w:val="12"/>
                <w:szCs w:val="12"/>
                <w:lang w:val="en-GB"/>
              </w:rPr>
            </w:pPr>
            <w:r>
              <w:rPr>
                <w:bCs/>
                <w:sz w:val="12"/>
                <w:szCs w:val="12"/>
                <w:lang w:val="en-GB"/>
              </w:rPr>
              <w:t>Proofread (four eyes principle)</w:t>
            </w:r>
          </w:p>
        </w:tc>
        <w:tc>
          <w:tcPr>
            <w:tcW w:w="803" w:type="dxa"/>
            <w:vAlign w:val="center"/>
          </w:tcPr>
          <w:p w14:paraId="41D39E72" w14:textId="7F17B877" w:rsidR="008D5D77" w:rsidRDefault="008D5D77" w:rsidP="001E7488">
            <w:pPr>
              <w:rPr>
                <w:bCs/>
                <w:sz w:val="12"/>
                <w:szCs w:val="12"/>
                <w:lang w:val="en-GB"/>
              </w:rPr>
            </w:pPr>
            <w:r>
              <w:rPr>
                <w:bCs/>
                <w:sz w:val="12"/>
                <w:szCs w:val="12"/>
                <w:lang w:val="en-GB"/>
              </w:rPr>
              <w:t>VA-IT-037 | AA-GH-013</w:t>
            </w:r>
          </w:p>
        </w:tc>
        <w:tc>
          <w:tcPr>
            <w:tcW w:w="331" w:type="dxa"/>
          </w:tcPr>
          <w:p w14:paraId="6E725B3F" w14:textId="1BFEFD50" w:rsidR="008D5D77" w:rsidRDefault="008D5D77" w:rsidP="001E7488">
            <w:pPr>
              <w:ind w:left="-60"/>
              <w:jc w:val="center"/>
              <w:rPr>
                <w:bCs/>
                <w:sz w:val="12"/>
                <w:szCs w:val="12"/>
                <w:lang w:val="en-GB"/>
              </w:rPr>
            </w:pPr>
            <w:r>
              <w:rPr>
                <w:bCs/>
                <w:sz w:val="12"/>
                <w:szCs w:val="12"/>
                <w:lang w:val="en-GB"/>
              </w:rPr>
              <w:t>2</w:t>
            </w:r>
          </w:p>
        </w:tc>
        <w:tc>
          <w:tcPr>
            <w:tcW w:w="283" w:type="dxa"/>
          </w:tcPr>
          <w:p w14:paraId="342365F1" w14:textId="20B20135" w:rsidR="008D5D77" w:rsidRDefault="008D5D77" w:rsidP="001E7488">
            <w:pPr>
              <w:ind w:left="-109"/>
              <w:jc w:val="center"/>
              <w:rPr>
                <w:bCs/>
                <w:sz w:val="12"/>
                <w:szCs w:val="12"/>
                <w:lang w:val="en-GB"/>
              </w:rPr>
            </w:pPr>
            <w:r>
              <w:rPr>
                <w:bCs/>
                <w:sz w:val="12"/>
                <w:szCs w:val="12"/>
                <w:lang w:val="en-GB"/>
              </w:rPr>
              <w:t>2</w:t>
            </w:r>
          </w:p>
        </w:tc>
      </w:tr>
    </w:tbl>
    <w:p w14:paraId="3C49BE95" w14:textId="77777777" w:rsidR="001264A8" w:rsidRPr="006C5B12" w:rsidRDefault="001264A8" w:rsidP="00F80F8D">
      <w:pPr>
        <w:spacing w:after="0"/>
        <w:jc w:val="both"/>
        <w:rPr>
          <w:b/>
          <w:lang w:val="en-GB"/>
        </w:rPr>
      </w:pPr>
    </w:p>
    <w:p w14:paraId="77371B3B" w14:textId="77777777" w:rsidR="00F80F8D" w:rsidRPr="006C5B12" w:rsidRDefault="00F80F8D" w:rsidP="00F80F8D">
      <w:pPr>
        <w:spacing w:after="0"/>
        <w:jc w:val="both"/>
        <w:rPr>
          <w:lang w:val="en-GB"/>
        </w:rPr>
      </w:pPr>
    </w:p>
    <w:p w14:paraId="6A6A0BCF" w14:textId="5FAFC381" w:rsidR="00F80F8D" w:rsidRPr="006C5B12" w:rsidRDefault="00F80F8D" w:rsidP="00F80F8D">
      <w:pPr>
        <w:spacing w:after="0"/>
        <w:jc w:val="both"/>
        <w:rPr>
          <w:u w:val="single"/>
          <w:lang w:val="en-GB"/>
        </w:rPr>
      </w:pPr>
      <w:r w:rsidRPr="006C5B12">
        <w:rPr>
          <w:u w:val="single"/>
          <w:lang w:val="en-GB"/>
        </w:rPr>
        <w:t>Risk</w:t>
      </w:r>
      <w:r w:rsidR="0080298F">
        <w:rPr>
          <w:u w:val="single"/>
          <w:lang w:val="en-GB"/>
        </w:rPr>
        <w:t xml:space="preserve"> </w:t>
      </w:r>
      <w:r w:rsidR="00DA1FCA">
        <w:rPr>
          <w:u w:val="single"/>
          <w:lang w:val="en-GB"/>
        </w:rPr>
        <w:t>A</w:t>
      </w:r>
      <w:r w:rsidRPr="006C5B12">
        <w:rPr>
          <w:u w:val="single"/>
          <w:lang w:val="en-GB"/>
        </w:rPr>
        <w:t>nalys</w:t>
      </w:r>
      <w:r w:rsidR="0080298F">
        <w:rPr>
          <w:u w:val="single"/>
          <w:lang w:val="en-GB"/>
        </w:rPr>
        <w:t xml:space="preserve">is </w:t>
      </w:r>
      <w:r w:rsidR="00DA1FCA">
        <w:rPr>
          <w:u w:val="single"/>
          <w:lang w:val="en-GB"/>
        </w:rPr>
        <w:t>P</w:t>
      </w:r>
      <w:r w:rsidR="0080298F">
        <w:rPr>
          <w:u w:val="single"/>
          <w:lang w:val="en-GB"/>
        </w:rPr>
        <w:t>art</w:t>
      </w:r>
      <w:r w:rsidRPr="006C5B12">
        <w:rPr>
          <w:u w:val="single"/>
          <w:lang w:val="en-GB"/>
        </w:rPr>
        <w:t xml:space="preserve"> 2: Patient </w:t>
      </w:r>
      <w:r w:rsidR="0080298F">
        <w:rPr>
          <w:u w:val="single"/>
          <w:lang w:val="en-GB"/>
        </w:rPr>
        <w:t>a</w:t>
      </w:r>
      <w:r w:rsidRPr="006C5B12">
        <w:rPr>
          <w:u w:val="single"/>
          <w:lang w:val="en-GB"/>
        </w:rPr>
        <w:t xml:space="preserve">nd </w:t>
      </w:r>
      <w:r w:rsidR="00DA1FCA">
        <w:rPr>
          <w:u w:val="single"/>
          <w:lang w:val="en-GB"/>
        </w:rPr>
        <w:t>R</w:t>
      </w:r>
      <w:r w:rsidR="0080298F">
        <w:rPr>
          <w:u w:val="single"/>
          <w:lang w:val="en-GB"/>
        </w:rPr>
        <w:t xml:space="preserve">isk </w:t>
      </w:r>
      <w:r w:rsidR="00DA1FCA">
        <w:rPr>
          <w:u w:val="single"/>
          <w:lang w:val="en-GB"/>
        </w:rPr>
        <w:t>A</w:t>
      </w:r>
      <w:r w:rsidR="0080298F">
        <w:rPr>
          <w:u w:val="single"/>
          <w:lang w:val="en-GB"/>
        </w:rPr>
        <w:t>ssessment</w:t>
      </w:r>
    </w:p>
    <w:p w14:paraId="675FC802" w14:textId="5AD2F12B" w:rsidR="006433C9" w:rsidRPr="006C5B12" w:rsidRDefault="0080298F" w:rsidP="00F80F8D">
      <w:pPr>
        <w:spacing w:after="0"/>
        <w:jc w:val="both"/>
        <w:rPr>
          <w:lang w:val="en-GB"/>
        </w:rPr>
      </w:pPr>
      <w:r w:rsidRPr="0080298F">
        <w:rPr>
          <w:lang w:val="en-GB"/>
        </w:rPr>
        <w:t xml:space="preserve">In </w:t>
      </w:r>
      <w:r w:rsidR="00D52EDD">
        <w:rPr>
          <w:lang w:val="en-GB"/>
        </w:rPr>
        <w:t>P</w:t>
      </w:r>
      <w:r w:rsidRPr="0080298F">
        <w:rPr>
          <w:lang w:val="en-GB"/>
        </w:rPr>
        <w:t>art 2 of the risk analysis, the potential harms to the patient</w:t>
      </w:r>
      <w:r w:rsidR="00392B01">
        <w:rPr>
          <w:lang w:val="en-GB"/>
        </w:rPr>
        <w:t>,</w:t>
      </w:r>
      <w:r>
        <w:rPr>
          <w:lang w:val="en-GB"/>
        </w:rPr>
        <w:t xml:space="preserve"> which were</w:t>
      </w:r>
      <w:r w:rsidRPr="0080298F">
        <w:rPr>
          <w:lang w:val="en-GB"/>
        </w:rPr>
        <w:t xml:space="preserve"> identified and listed in the first part (</w:t>
      </w:r>
      <w:r w:rsidR="00DA1FCA">
        <w:rPr>
          <w:lang w:val="en-GB"/>
        </w:rPr>
        <w:t>R</w:t>
      </w:r>
      <w:r w:rsidRPr="0080298F">
        <w:rPr>
          <w:lang w:val="en-GB"/>
        </w:rPr>
        <w:t xml:space="preserve">isk </w:t>
      </w:r>
      <w:r w:rsidR="00DA1FCA">
        <w:rPr>
          <w:lang w:val="en-GB"/>
        </w:rPr>
        <w:t>A</w:t>
      </w:r>
      <w:r w:rsidRPr="0080298F">
        <w:rPr>
          <w:lang w:val="en-GB"/>
        </w:rPr>
        <w:t>nalysis</w:t>
      </w:r>
      <w:r w:rsidR="00DA1FCA">
        <w:rPr>
          <w:lang w:val="en-GB"/>
        </w:rPr>
        <w:t>, L</w:t>
      </w:r>
      <w:r w:rsidRPr="0080298F">
        <w:rPr>
          <w:lang w:val="en-GB"/>
        </w:rPr>
        <w:t>aboratory)</w:t>
      </w:r>
      <w:r w:rsidR="00392B01">
        <w:rPr>
          <w:lang w:val="en-GB"/>
        </w:rPr>
        <w:t>,</w:t>
      </w:r>
      <w:r w:rsidRPr="0080298F">
        <w:rPr>
          <w:lang w:val="en-GB"/>
        </w:rPr>
        <w:t xml:space="preserve"> are listed together with the most unfavourable combination of probability of occurrence [</w:t>
      </w:r>
      <w:r w:rsidR="00DA1FCA">
        <w:rPr>
          <w:lang w:val="en-GB"/>
        </w:rPr>
        <w:t>P</w:t>
      </w:r>
      <w:r w:rsidRPr="0080298F">
        <w:rPr>
          <w:lang w:val="en-GB"/>
        </w:rPr>
        <w:t>] and probability of detection [</w:t>
      </w:r>
      <w:r>
        <w:rPr>
          <w:lang w:val="en-GB"/>
        </w:rPr>
        <w:t>D</w:t>
      </w:r>
      <w:r w:rsidRPr="0080298F">
        <w:rPr>
          <w:lang w:val="en-GB"/>
        </w:rPr>
        <w:t xml:space="preserve">] in each case. </w:t>
      </w:r>
    </w:p>
    <w:p w14:paraId="77468EE0" w14:textId="01682435" w:rsidR="0080298F" w:rsidRPr="006C5B12" w:rsidRDefault="0080298F" w:rsidP="0080298F">
      <w:pPr>
        <w:spacing w:after="0"/>
        <w:jc w:val="both"/>
        <w:rPr>
          <w:lang w:val="en-GB"/>
        </w:rPr>
      </w:pPr>
      <w:r w:rsidRPr="0080298F">
        <w:rPr>
          <w:lang w:val="en-GB"/>
        </w:rPr>
        <w:t xml:space="preserve">It should be </w:t>
      </w:r>
      <w:r w:rsidR="00392B01">
        <w:rPr>
          <w:lang w:val="en-GB"/>
        </w:rPr>
        <w:t>noted</w:t>
      </w:r>
      <w:r w:rsidRPr="0080298F">
        <w:rPr>
          <w:lang w:val="en-GB"/>
        </w:rPr>
        <w:t xml:space="preserve"> that the severity of the potential harm primarily depend</w:t>
      </w:r>
      <w:r>
        <w:rPr>
          <w:lang w:val="en-GB"/>
        </w:rPr>
        <w:t>s</w:t>
      </w:r>
      <w:r w:rsidRPr="0080298F">
        <w:rPr>
          <w:lang w:val="en-GB"/>
        </w:rPr>
        <w:t xml:space="preserve"> on the clinical significance of the </w:t>
      </w:r>
      <w:r w:rsidR="00392B01">
        <w:rPr>
          <w:lang w:val="en-GB"/>
        </w:rPr>
        <w:t>analyte</w:t>
      </w:r>
      <w:r w:rsidRPr="0080298F">
        <w:rPr>
          <w:lang w:val="en-GB"/>
        </w:rPr>
        <w:t xml:space="preserve"> under investigation and less on the chain of causes triggering the hazardous situation (see also </w:t>
      </w:r>
      <w:r w:rsidR="000F0FC5">
        <w:rPr>
          <w:lang w:val="en-GB"/>
        </w:rPr>
        <w:t>Chapter</w:t>
      </w:r>
      <w:r w:rsidR="006433C9" w:rsidRPr="006C5B12">
        <w:rPr>
          <w:lang w:val="en-GB"/>
        </w:rPr>
        <w:t xml:space="preserve"> </w:t>
      </w:r>
      <w:r w:rsidR="006433C9" w:rsidRPr="006C5B12">
        <w:rPr>
          <w:lang w:val="en-GB"/>
        </w:rPr>
        <w:fldChar w:fldCharType="begin"/>
      </w:r>
      <w:r w:rsidR="006433C9" w:rsidRPr="006C5B12">
        <w:rPr>
          <w:lang w:val="en-GB"/>
        </w:rPr>
        <w:instrText xml:space="preserve"> REF _Ref71886651 \r \h </w:instrText>
      </w:r>
      <w:r w:rsidR="006433C9" w:rsidRPr="006C5B12">
        <w:rPr>
          <w:lang w:val="en-GB"/>
        </w:rPr>
      </w:r>
      <w:r w:rsidR="006433C9" w:rsidRPr="006C5B12">
        <w:rPr>
          <w:lang w:val="en-GB"/>
        </w:rPr>
        <w:fldChar w:fldCharType="separate"/>
      </w:r>
      <w:r w:rsidR="006433C9" w:rsidRPr="006C5B12">
        <w:rPr>
          <w:lang w:val="en-GB"/>
        </w:rPr>
        <w:t>2.3</w:t>
      </w:r>
      <w:r w:rsidR="006433C9" w:rsidRPr="006C5B12">
        <w:rPr>
          <w:lang w:val="en-GB"/>
        </w:rPr>
        <w:fldChar w:fldCharType="end"/>
      </w:r>
      <w:r w:rsidR="006433C9" w:rsidRPr="006C5B12">
        <w:rPr>
          <w:lang w:val="en-GB"/>
        </w:rPr>
        <w:t xml:space="preserve">). </w:t>
      </w:r>
      <w:r w:rsidRPr="0080298F">
        <w:rPr>
          <w:lang w:val="en-GB"/>
        </w:rPr>
        <w:t xml:space="preserve">The assessment of the severity of the damage [S] and thus a final risk assessment </w:t>
      </w:r>
      <w:r>
        <w:rPr>
          <w:lang w:val="en-GB"/>
        </w:rPr>
        <w:t>based on</w:t>
      </w:r>
      <w:r w:rsidRPr="0080298F">
        <w:rPr>
          <w:lang w:val="en-GB"/>
        </w:rPr>
        <w:t xml:space="preserve"> the </w:t>
      </w:r>
      <w:r w:rsidR="00E209EF">
        <w:rPr>
          <w:lang w:val="en-GB"/>
        </w:rPr>
        <w:t>r</w:t>
      </w:r>
      <w:r w:rsidRPr="0080298F">
        <w:rPr>
          <w:lang w:val="en-GB"/>
        </w:rPr>
        <w:t xml:space="preserve">isk </w:t>
      </w:r>
      <w:r w:rsidR="00E209EF">
        <w:rPr>
          <w:lang w:val="en-GB"/>
        </w:rPr>
        <w:t>a</w:t>
      </w:r>
      <w:r w:rsidRPr="0080298F">
        <w:rPr>
          <w:lang w:val="en-GB"/>
        </w:rPr>
        <w:t xml:space="preserve">cceptance </w:t>
      </w:r>
      <w:r w:rsidR="00E209EF">
        <w:rPr>
          <w:lang w:val="en-GB"/>
        </w:rPr>
        <w:t>t</w:t>
      </w:r>
      <w:r w:rsidRPr="0080298F">
        <w:rPr>
          <w:lang w:val="en-GB"/>
        </w:rPr>
        <w:t xml:space="preserve">able (RPN classification) is therefore carried out </w:t>
      </w:r>
      <w:r w:rsidR="0009523E">
        <w:rPr>
          <w:lang w:val="en-GB"/>
        </w:rPr>
        <w:t xml:space="preserve">based on the </w:t>
      </w:r>
      <w:r w:rsidR="00392B01">
        <w:rPr>
          <w:lang w:val="en-GB"/>
        </w:rPr>
        <w:t>analyte</w:t>
      </w:r>
      <w:r w:rsidRPr="0080298F">
        <w:rPr>
          <w:lang w:val="en-GB"/>
        </w:rPr>
        <w:t xml:space="preserve"> under investigation. </w:t>
      </w:r>
    </w:p>
    <w:p w14:paraId="6D026522" w14:textId="77777777" w:rsidR="001264A8" w:rsidRPr="006C5B12" w:rsidRDefault="001264A8" w:rsidP="00F80F8D">
      <w:pPr>
        <w:rPr>
          <w:lang w:val="en-GB"/>
        </w:rPr>
      </w:pPr>
    </w:p>
    <w:tbl>
      <w:tblPr>
        <w:tblStyle w:val="Tabellenraster"/>
        <w:tblW w:w="9090" w:type="dxa"/>
        <w:tblLayout w:type="fixed"/>
        <w:tblLook w:val="04A0" w:firstRow="1" w:lastRow="0" w:firstColumn="1" w:lastColumn="0" w:noHBand="0" w:noVBand="1"/>
      </w:tblPr>
      <w:tblGrid>
        <w:gridCol w:w="1696"/>
        <w:gridCol w:w="2410"/>
        <w:gridCol w:w="340"/>
        <w:gridCol w:w="340"/>
        <w:gridCol w:w="340"/>
        <w:gridCol w:w="426"/>
        <w:gridCol w:w="1389"/>
        <w:gridCol w:w="2149"/>
      </w:tblGrid>
      <w:tr w:rsidR="00ED7E6B" w14:paraId="0DEDE130" w14:textId="77777777" w:rsidTr="00A8624A">
        <w:tc>
          <w:tcPr>
            <w:tcW w:w="169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5CC35FF" w14:textId="426F7476" w:rsidR="00FB43A9" w:rsidRPr="00E209EF" w:rsidRDefault="00FB43A9" w:rsidP="00ED7E6B">
            <w:pPr>
              <w:ind w:right="-111"/>
              <w:rPr>
                <w:b/>
                <w:bCs/>
                <w:sz w:val="18"/>
                <w:szCs w:val="18"/>
                <w:lang w:val="en-GB"/>
              </w:rPr>
            </w:pPr>
            <w:r w:rsidRPr="00E209EF">
              <w:rPr>
                <w:b/>
                <w:bCs/>
                <w:sz w:val="18"/>
                <w:szCs w:val="18"/>
                <w:lang w:val="en-GB"/>
              </w:rPr>
              <w:t>Test method</w:t>
            </w:r>
          </w:p>
        </w:tc>
        <w:tc>
          <w:tcPr>
            <w:tcW w:w="2410" w:type="dxa"/>
            <w:tcBorders>
              <w:top w:val="single" w:sz="8" w:space="0" w:color="auto"/>
              <w:left w:val="single" w:sz="8" w:space="0" w:color="auto"/>
              <w:right w:val="single" w:sz="8" w:space="0" w:color="auto"/>
            </w:tcBorders>
            <w:shd w:val="clear" w:color="auto" w:fill="70AD47" w:themeFill="accent6"/>
          </w:tcPr>
          <w:p w14:paraId="4640549F" w14:textId="69F18566" w:rsidR="00FB43A9" w:rsidRPr="00E209EF" w:rsidRDefault="00FB43A9" w:rsidP="00ED7E6B">
            <w:pPr>
              <w:ind w:left="-105" w:right="-111"/>
              <w:rPr>
                <w:b/>
                <w:bCs/>
                <w:sz w:val="18"/>
                <w:szCs w:val="18"/>
                <w:lang w:val="en-GB"/>
              </w:rPr>
            </w:pPr>
            <w:r w:rsidRPr="00E209EF">
              <w:rPr>
                <w:b/>
                <w:bCs/>
                <w:sz w:val="18"/>
                <w:szCs w:val="18"/>
                <w:lang w:val="en-GB"/>
              </w:rPr>
              <w:t>Potential harm</w:t>
            </w:r>
          </w:p>
        </w:tc>
        <w:tc>
          <w:tcPr>
            <w:tcW w:w="340" w:type="dxa"/>
            <w:tcBorders>
              <w:top w:val="single" w:sz="8" w:space="0" w:color="auto"/>
              <w:left w:val="single" w:sz="8" w:space="0" w:color="auto"/>
            </w:tcBorders>
            <w:shd w:val="clear" w:color="auto" w:fill="70AD47" w:themeFill="accent6"/>
            <w:vAlign w:val="center"/>
          </w:tcPr>
          <w:p w14:paraId="2CFB4190" w14:textId="72FACA89" w:rsidR="00FB43A9" w:rsidRPr="00E209EF" w:rsidRDefault="00FB43A9" w:rsidP="00ED7E6B">
            <w:pPr>
              <w:ind w:left="-109" w:right="-111"/>
              <w:jc w:val="center"/>
              <w:rPr>
                <w:b/>
                <w:bCs/>
                <w:sz w:val="18"/>
                <w:szCs w:val="18"/>
                <w:lang w:val="en-GB"/>
              </w:rPr>
            </w:pPr>
            <w:r w:rsidRPr="00E209EF">
              <w:rPr>
                <w:b/>
                <w:bCs/>
                <w:sz w:val="18"/>
                <w:szCs w:val="18"/>
                <w:lang w:val="en-GB"/>
              </w:rPr>
              <w:t>[</w:t>
            </w:r>
            <w:r w:rsidR="00E209EF" w:rsidRPr="00E209EF">
              <w:rPr>
                <w:b/>
                <w:bCs/>
                <w:sz w:val="18"/>
                <w:szCs w:val="18"/>
                <w:lang w:val="en-GB"/>
              </w:rPr>
              <w:t>P</w:t>
            </w:r>
            <w:r w:rsidRPr="00E209EF">
              <w:rPr>
                <w:b/>
                <w:bCs/>
                <w:sz w:val="18"/>
                <w:szCs w:val="18"/>
                <w:lang w:val="en-GB"/>
              </w:rPr>
              <w:t>]</w:t>
            </w:r>
          </w:p>
        </w:tc>
        <w:tc>
          <w:tcPr>
            <w:tcW w:w="340" w:type="dxa"/>
            <w:tcBorders>
              <w:top w:val="single" w:sz="8" w:space="0" w:color="auto"/>
            </w:tcBorders>
            <w:shd w:val="clear" w:color="auto" w:fill="70AD47" w:themeFill="accent6"/>
            <w:vAlign w:val="center"/>
          </w:tcPr>
          <w:p w14:paraId="3E0EF712" w14:textId="20E3C919" w:rsidR="00FB43A9" w:rsidRPr="00E209EF" w:rsidRDefault="00FB43A9" w:rsidP="00ED7E6B">
            <w:pPr>
              <w:ind w:left="-108" w:right="-111"/>
              <w:jc w:val="center"/>
              <w:rPr>
                <w:b/>
                <w:bCs/>
                <w:sz w:val="18"/>
                <w:szCs w:val="18"/>
                <w:lang w:val="en-GB"/>
              </w:rPr>
            </w:pPr>
            <w:r w:rsidRPr="00E209EF">
              <w:rPr>
                <w:b/>
                <w:bCs/>
                <w:sz w:val="18"/>
                <w:szCs w:val="18"/>
                <w:lang w:val="en-GB"/>
              </w:rPr>
              <w:t>[</w:t>
            </w:r>
            <w:r w:rsidRPr="00E209EF">
              <w:rPr>
                <w:b/>
                <w:bCs/>
                <w:sz w:val="18"/>
                <w:szCs w:val="18"/>
                <w:u w:val="double"/>
                <w:lang w:val="en-GB"/>
              </w:rPr>
              <w:t>D</w:t>
            </w:r>
            <w:r w:rsidRPr="00E209EF">
              <w:rPr>
                <w:b/>
                <w:bCs/>
                <w:sz w:val="18"/>
                <w:szCs w:val="18"/>
                <w:lang w:val="en-GB"/>
              </w:rPr>
              <w:t>]</w:t>
            </w:r>
          </w:p>
        </w:tc>
        <w:tc>
          <w:tcPr>
            <w:tcW w:w="340" w:type="dxa"/>
            <w:tcBorders>
              <w:top w:val="single" w:sz="8" w:space="0" w:color="auto"/>
            </w:tcBorders>
            <w:shd w:val="clear" w:color="auto" w:fill="FFD966" w:themeFill="accent4" w:themeFillTint="99"/>
            <w:vAlign w:val="center"/>
          </w:tcPr>
          <w:p w14:paraId="5F294B7F" w14:textId="7A90C056" w:rsidR="00FB43A9" w:rsidRPr="00E209EF" w:rsidRDefault="00FB43A9" w:rsidP="00ED7E6B">
            <w:pPr>
              <w:ind w:left="-82" w:right="-111"/>
              <w:jc w:val="center"/>
              <w:rPr>
                <w:b/>
                <w:bCs/>
                <w:sz w:val="18"/>
                <w:szCs w:val="18"/>
                <w:lang w:val="en-GB"/>
              </w:rPr>
            </w:pPr>
            <w:r w:rsidRPr="00E209EF">
              <w:rPr>
                <w:b/>
                <w:bCs/>
                <w:sz w:val="18"/>
                <w:szCs w:val="18"/>
                <w:lang w:val="en-GB"/>
              </w:rPr>
              <w:t>[S]</w:t>
            </w:r>
          </w:p>
        </w:tc>
        <w:tc>
          <w:tcPr>
            <w:tcW w:w="426" w:type="dxa"/>
            <w:tcBorders>
              <w:top w:val="single" w:sz="8" w:space="0" w:color="auto"/>
            </w:tcBorders>
            <w:shd w:val="clear" w:color="auto" w:fill="FFD966" w:themeFill="accent4" w:themeFillTint="99"/>
          </w:tcPr>
          <w:p w14:paraId="4E423ECC" w14:textId="31F09E77" w:rsidR="00FB43A9" w:rsidRPr="00E209EF" w:rsidRDefault="00FB43A9" w:rsidP="00E209EF">
            <w:pPr>
              <w:ind w:left="-8" w:right="-111"/>
              <w:rPr>
                <w:b/>
                <w:bCs/>
                <w:sz w:val="18"/>
                <w:szCs w:val="18"/>
                <w:lang w:val="en-GB"/>
              </w:rPr>
            </w:pPr>
            <w:r w:rsidRPr="00E209EF">
              <w:rPr>
                <w:b/>
                <w:bCs/>
                <w:sz w:val="18"/>
                <w:szCs w:val="18"/>
                <w:lang w:val="en-GB"/>
              </w:rPr>
              <w:t>RPN</w:t>
            </w:r>
          </w:p>
        </w:tc>
        <w:tc>
          <w:tcPr>
            <w:tcW w:w="1389" w:type="dxa"/>
            <w:tcBorders>
              <w:top w:val="single" w:sz="8" w:space="0" w:color="auto"/>
              <w:right w:val="single" w:sz="8" w:space="0" w:color="auto"/>
            </w:tcBorders>
            <w:shd w:val="clear" w:color="auto" w:fill="FFD966" w:themeFill="accent4" w:themeFillTint="99"/>
            <w:vAlign w:val="center"/>
          </w:tcPr>
          <w:p w14:paraId="5E6FF505" w14:textId="36363554" w:rsidR="00FB43A9" w:rsidRPr="00E209EF" w:rsidRDefault="00FB43A9" w:rsidP="001264A8">
            <w:pPr>
              <w:ind w:left="-139" w:right="-111"/>
              <w:jc w:val="center"/>
              <w:rPr>
                <w:b/>
                <w:bCs/>
                <w:sz w:val="18"/>
                <w:szCs w:val="18"/>
                <w:lang w:val="en-GB"/>
              </w:rPr>
            </w:pPr>
            <w:r w:rsidRPr="00E209EF">
              <w:rPr>
                <w:b/>
                <w:bCs/>
                <w:sz w:val="18"/>
                <w:szCs w:val="18"/>
                <w:lang w:val="en-GB"/>
              </w:rPr>
              <w:t>Risk assessment</w:t>
            </w:r>
          </w:p>
        </w:tc>
        <w:tc>
          <w:tcPr>
            <w:tcW w:w="2149" w:type="dxa"/>
            <w:tcBorders>
              <w:top w:val="single" w:sz="8" w:space="0" w:color="auto"/>
              <w:left w:val="single" w:sz="8" w:space="0" w:color="auto"/>
              <w:right w:val="single" w:sz="8" w:space="0" w:color="auto"/>
            </w:tcBorders>
            <w:shd w:val="clear" w:color="auto" w:fill="FFD966" w:themeFill="accent4" w:themeFillTint="99"/>
          </w:tcPr>
          <w:p w14:paraId="0817A3A7" w14:textId="7EAE4DDF" w:rsidR="00FB43A9" w:rsidRPr="00E209EF" w:rsidRDefault="00FB43A9" w:rsidP="00ED7E6B">
            <w:pPr>
              <w:ind w:right="-111"/>
              <w:rPr>
                <w:b/>
                <w:bCs/>
                <w:sz w:val="18"/>
                <w:szCs w:val="18"/>
                <w:lang w:val="en-GB"/>
              </w:rPr>
            </w:pPr>
            <w:r w:rsidRPr="00E209EF">
              <w:rPr>
                <w:b/>
                <w:bCs/>
                <w:sz w:val="18"/>
                <w:szCs w:val="18"/>
                <w:lang w:val="en-GB"/>
              </w:rPr>
              <w:t>Risk/benefit analysis</w:t>
            </w:r>
          </w:p>
        </w:tc>
      </w:tr>
      <w:tr w:rsidR="00FB43A9" w14:paraId="61F0EAA1" w14:textId="77777777" w:rsidTr="00A8624A">
        <w:tc>
          <w:tcPr>
            <w:tcW w:w="1696" w:type="dxa"/>
            <w:vMerge w:val="restart"/>
            <w:tcBorders>
              <w:left w:val="single" w:sz="8" w:space="0" w:color="auto"/>
              <w:bottom w:val="single" w:sz="8" w:space="0" w:color="auto"/>
              <w:right w:val="single" w:sz="8" w:space="0" w:color="auto"/>
            </w:tcBorders>
            <w:vAlign w:val="center"/>
          </w:tcPr>
          <w:p w14:paraId="79E4A5A8" w14:textId="7814AE24" w:rsidR="00FB43A9" w:rsidRDefault="00FB43A9" w:rsidP="00ED7E6B">
            <w:pPr>
              <w:ind w:right="-111"/>
              <w:rPr>
                <w:sz w:val="18"/>
                <w:szCs w:val="18"/>
                <w:lang w:val="en-GB"/>
              </w:rPr>
            </w:pPr>
            <w:proofErr w:type="spellStart"/>
            <w:proofErr w:type="gramStart"/>
            <w:r>
              <w:rPr>
                <w:sz w:val="18"/>
                <w:szCs w:val="18"/>
                <w:lang w:val="en-GB"/>
              </w:rPr>
              <w:t>vWF:CBA</w:t>
            </w:r>
            <w:proofErr w:type="spellEnd"/>
            <w:proofErr w:type="gramEnd"/>
            <w:r>
              <w:rPr>
                <w:sz w:val="18"/>
                <w:szCs w:val="18"/>
                <w:lang w:val="en-GB"/>
              </w:rPr>
              <w:t>*</w:t>
            </w:r>
          </w:p>
        </w:tc>
        <w:tc>
          <w:tcPr>
            <w:tcW w:w="2410" w:type="dxa"/>
            <w:tcBorders>
              <w:left w:val="single" w:sz="8" w:space="0" w:color="auto"/>
              <w:bottom w:val="single" w:sz="8" w:space="0" w:color="auto"/>
              <w:right w:val="single" w:sz="8" w:space="0" w:color="auto"/>
            </w:tcBorders>
          </w:tcPr>
          <w:p w14:paraId="53B41936" w14:textId="3EFEB7DA" w:rsidR="00FB43A9" w:rsidRDefault="00FB43A9" w:rsidP="00ED7E6B">
            <w:pPr>
              <w:ind w:left="-105" w:right="-111"/>
              <w:rPr>
                <w:sz w:val="18"/>
                <w:szCs w:val="18"/>
                <w:lang w:val="en-GB"/>
              </w:rPr>
            </w:pPr>
            <w:r>
              <w:rPr>
                <w:sz w:val="18"/>
                <w:szCs w:val="18"/>
                <w:lang w:val="en-GB"/>
              </w:rPr>
              <w:t>False diagnosis/therapy</w:t>
            </w:r>
          </w:p>
        </w:tc>
        <w:tc>
          <w:tcPr>
            <w:tcW w:w="340" w:type="dxa"/>
            <w:tcBorders>
              <w:left w:val="single" w:sz="8" w:space="0" w:color="auto"/>
              <w:bottom w:val="single" w:sz="8" w:space="0" w:color="auto"/>
            </w:tcBorders>
            <w:vAlign w:val="center"/>
          </w:tcPr>
          <w:p w14:paraId="3F381E22" w14:textId="14CF5519" w:rsidR="00FB43A9" w:rsidRDefault="00FB43A9" w:rsidP="00ED7E6B">
            <w:pPr>
              <w:ind w:left="-109" w:right="-111"/>
              <w:jc w:val="center"/>
              <w:rPr>
                <w:sz w:val="18"/>
                <w:szCs w:val="18"/>
                <w:lang w:val="en-GB"/>
              </w:rPr>
            </w:pPr>
            <w:r>
              <w:rPr>
                <w:sz w:val="18"/>
                <w:szCs w:val="18"/>
                <w:lang w:val="en-GB"/>
              </w:rPr>
              <w:t>2</w:t>
            </w:r>
          </w:p>
        </w:tc>
        <w:tc>
          <w:tcPr>
            <w:tcW w:w="340" w:type="dxa"/>
            <w:tcBorders>
              <w:bottom w:val="single" w:sz="8" w:space="0" w:color="auto"/>
            </w:tcBorders>
            <w:vAlign w:val="center"/>
          </w:tcPr>
          <w:p w14:paraId="66E8DF4F" w14:textId="71005BA6" w:rsidR="00FB43A9" w:rsidRDefault="00FB43A9" w:rsidP="00ED7E6B">
            <w:pPr>
              <w:ind w:left="-108" w:right="-111"/>
              <w:jc w:val="center"/>
              <w:rPr>
                <w:sz w:val="18"/>
                <w:szCs w:val="18"/>
                <w:lang w:val="en-GB"/>
              </w:rPr>
            </w:pPr>
            <w:r>
              <w:rPr>
                <w:sz w:val="18"/>
                <w:szCs w:val="18"/>
                <w:lang w:val="en-GB"/>
              </w:rPr>
              <w:t>2</w:t>
            </w:r>
          </w:p>
        </w:tc>
        <w:tc>
          <w:tcPr>
            <w:tcW w:w="340" w:type="dxa"/>
            <w:tcBorders>
              <w:bottom w:val="single" w:sz="8" w:space="0" w:color="auto"/>
            </w:tcBorders>
            <w:vAlign w:val="center"/>
          </w:tcPr>
          <w:p w14:paraId="0ECBB531" w14:textId="35C8D8A8" w:rsidR="00FB43A9" w:rsidRDefault="00FB43A9" w:rsidP="00ED7E6B">
            <w:pPr>
              <w:ind w:left="-82" w:right="-111"/>
              <w:jc w:val="center"/>
              <w:rPr>
                <w:sz w:val="18"/>
                <w:szCs w:val="18"/>
                <w:lang w:val="en-GB"/>
              </w:rPr>
            </w:pPr>
            <w:r>
              <w:rPr>
                <w:sz w:val="18"/>
                <w:szCs w:val="18"/>
                <w:lang w:val="en-GB"/>
              </w:rPr>
              <w:t>2</w:t>
            </w:r>
          </w:p>
        </w:tc>
        <w:tc>
          <w:tcPr>
            <w:tcW w:w="426" w:type="dxa"/>
            <w:tcBorders>
              <w:bottom w:val="single" w:sz="8" w:space="0" w:color="auto"/>
            </w:tcBorders>
            <w:vAlign w:val="center"/>
          </w:tcPr>
          <w:p w14:paraId="37F2C3F6" w14:textId="752C677D" w:rsidR="00FB43A9" w:rsidRDefault="00FB43A9" w:rsidP="00ED7E6B">
            <w:pPr>
              <w:ind w:right="-111"/>
              <w:jc w:val="center"/>
              <w:rPr>
                <w:sz w:val="18"/>
                <w:szCs w:val="18"/>
                <w:lang w:val="en-GB"/>
              </w:rPr>
            </w:pPr>
            <w:r>
              <w:rPr>
                <w:sz w:val="18"/>
                <w:szCs w:val="18"/>
                <w:lang w:val="en-GB"/>
              </w:rPr>
              <w:t>8</w:t>
            </w:r>
          </w:p>
        </w:tc>
        <w:tc>
          <w:tcPr>
            <w:tcW w:w="1389" w:type="dxa"/>
            <w:tcBorders>
              <w:bottom w:val="single" w:sz="8" w:space="0" w:color="auto"/>
              <w:right w:val="single" w:sz="8" w:space="0" w:color="auto"/>
            </w:tcBorders>
            <w:shd w:val="clear" w:color="auto" w:fill="FFFF00"/>
            <w:vAlign w:val="center"/>
          </w:tcPr>
          <w:p w14:paraId="77547FD1" w14:textId="2C6E06A2" w:rsidR="00FB43A9" w:rsidRDefault="00FB43A9" w:rsidP="001264A8">
            <w:pPr>
              <w:ind w:left="-139" w:right="-111"/>
              <w:jc w:val="center"/>
              <w:rPr>
                <w:sz w:val="18"/>
                <w:szCs w:val="18"/>
                <w:lang w:val="en-GB"/>
              </w:rPr>
            </w:pPr>
            <w:r>
              <w:rPr>
                <w:sz w:val="18"/>
                <w:szCs w:val="18"/>
                <w:lang w:val="en-GB"/>
              </w:rPr>
              <w:t>Borderline</w:t>
            </w:r>
          </w:p>
        </w:tc>
        <w:tc>
          <w:tcPr>
            <w:tcW w:w="2149" w:type="dxa"/>
            <w:tcBorders>
              <w:left w:val="single" w:sz="8" w:space="0" w:color="auto"/>
              <w:bottom w:val="single" w:sz="8" w:space="0" w:color="auto"/>
              <w:right w:val="single" w:sz="8" w:space="0" w:color="auto"/>
            </w:tcBorders>
          </w:tcPr>
          <w:p w14:paraId="7FB871C1" w14:textId="77777777" w:rsidR="00FB43A9" w:rsidRDefault="00FB43A9" w:rsidP="00ED7E6B">
            <w:pPr>
              <w:ind w:right="-111"/>
              <w:rPr>
                <w:sz w:val="18"/>
                <w:szCs w:val="18"/>
                <w:lang w:val="en-GB"/>
              </w:rPr>
            </w:pPr>
          </w:p>
        </w:tc>
      </w:tr>
      <w:tr w:rsidR="00FB43A9" w14:paraId="6B49024D" w14:textId="77777777" w:rsidTr="00A8624A">
        <w:tc>
          <w:tcPr>
            <w:tcW w:w="1696" w:type="dxa"/>
            <w:vMerge/>
            <w:tcBorders>
              <w:left w:val="single" w:sz="8" w:space="0" w:color="auto"/>
              <w:bottom w:val="single" w:sz="8" w:space="0" w:color="auto"/>
              <w:right w:val="single" w:sz="8" w:space="0" w:color="auto"/>
            </w:tcBorders>
          </w:tcPr>
          <w:p w14:paraId="72660385" w14:textId="77777777" w:rsidR="00FB43A9" w:rsidRDefault="00FB43A9" w:rsidP="00ED7E6B">
            <w:pPr>
              <w:ind w:right="-111"/>
              <w:rPr>
                <w:sz w:val="18"/>
                <w:szCs w:val="18"/>
                <w:lang w:val="en-GB"/>
              </w:rPr>
            </w:pPr>
          </w:p>
        </w:tc>
        <w:tc>
          <w:tcPr>
            <w:tcW w:w="2410" w:type="dxa"/>
            <w:tcBorders>
              <w:top w:val="single" w:sz="8" w:space="0" w:color="auto"/>
              <w:left w:val="single" w:sz="8" w:space="0" w:color="auto"/>
              <w:bottom w:val="single" w:sz="4" w:space="0" w:color="auto"/>
              <w:right w:val="single" w:sz="8" w:space="0" w:color="auto"/>
            </w:tcBorders>
          </w:tcPr>
          <w:p w14:paraId="4EA1E7C6" w14:textId="4CE00282" w:rsidR="00FB43A9" w:rsidRDefault="00FB43A9" w:rsidP="00ED7E6B">
            <w:pPr>
              <w:ind w:left="-105" w:right="-111"/>
              <w:rPr>
                <w:sz w:val="18"/>
                <w:szCs w:val="18"/>
                <w:lang w:val="en-GB"/>
              </w:rPr>
            </w:pPr>
            <w:r>
              <w:rPr>
                <w:sz w:val="18"/>
                <w:szCs w:val="18"/>
                <w:lang w:val="en-GB"/>
              </w:rPr>
              <w:t>Delayed diagnosis/therapy</w:t>
            </w:r>
          </w:p>
        </w:tc>
        <w:tc>
          <w:tcPr>
            <w:tcW w:w="340" w:type="dxa"/>
            <w:tcBorders>
              <w:top w:val="single" w:sz="8" w:space="0" w:color="auto"/>
              <w:left w:val="single" w:sz="8" w:space="0" w:color="auto"/>
              <w:bottom w:val="single" w:sz="4" w:space="0" w:color="auto"/>
            </w:tcBorders>
            <w:vAlign w:val="center"/>
          </w:tcPr>
          <w:p w14:paraId="3445647B" w14:textId="5AB85969" w:rsidR="00FB43A9" w:rsidRDefault="00FB43A9" w:rsidP="00ED7E6B">
            <w:pPr>
              <w:ind w:left="-109" w:right="-111"/>
              <w:jc w:val="center"/>
              <w:rPr>
                <w:sz w:val="18"/>
                <w:szCs w:val="18"/>
                <w:lang w:val="en-GB"/>
              </w:rPr>
            </w:pPr>
            <w:r>
              <w:rPr>
                <w:sz w:val="18"/>
                <w:szCs w:val="18"/>
                <w:lang w:val="en-GB"/>
              </w:rPr>
              <w:t>2</w:t>
            </w:r>
          </w:p>
        </w:tc>
        <w:tc>
          <w:tcPr>
            <w:tcW w:w="340" w:type="dxa"/>
            <w:tcBorders>
              <w:top w:val="single" w:sz="8" w:space="0" w:color="auto"/>
              <w:bottom w:val="single" w:sz="4" w:space="0" w:color="auto"/>
            </w:tcBorders>
            <w:vAlign w:val="center"/>
          </w:tcPr>
          <w:p w14:paraId="652C9C72" w14:textId="6D4B02E2" w:rsidR="00FB43A9" w:rsidRDefault="00FB43A9" w:rsidP="00ED7E6B">
            <w:pPr>
              <w:ind w:left="-108" w:right="-111"/>
              <w:jc w:val="center"/>
              <w:rPr>
                <w:sz w:val="18"/>
                <w:szCs w:val="18"/>
                <w:lang w:val="en-GB"/>
              </w:rPr>
            </w:pPr>
            <w:r>
              <w:rPr>
                <w:sz w:val="18"/>
                <w:szCs w:val="18"/>
                <w:lang w:val="en-GB"/>
              </w:rPr>
              <w:t>1</w:t>
            </w:r>
          </w:p>
        </w:tc>
        <w:tc>
          <w:tcPr>
            <w:tcW w:w="340" w:type="dxa"/>
            <w:tcBorders>
              <w:top w:val="single" w:sz="8" w:space="0" w:color="auto"/>
              <w:bottom w:val="single" w:sz="4" w:space="0" w:color="auto"/>
            </w:tcBorders>
            <w:vAlign w:val="center"/>
          </w:tcPr>
          <w:p w14:paraId="7B7AB27A" w14:textId="71BA8DF6" w:rsidR="00FB43A9" w:rsidRDefault="00FB43A9" w:rsidP="00ED7E6B">
            <w:pPr>
              <w:ind w:left="-82" w:right="-111"/>
              <w:jc w:val="center"/>
              <w:rPr>
                <w:sz w:val="18"/>
                <w:szCs w:val="18"/>
                <w:lang w:val="en-GB"/>
              </w:rPr>
            </w:pPr>
            <w:r>
              <w:rPr>
                <w:sz w:val="18"/>
                <w:szCs w:val="18"/>
                <w:lang w:val="en-GB"/>
              </w:rPr>
              <w:t>1</w:t>
            </w:r>
          </w:p>
        </w:tc>
        <w:tc>
          <w:tcPr>
            <w:tcW w:w="426" w:type="dxa"/>
            <w:tcBorders>
              <w:top w:val="single" w:sz="8" w:space="0" w:color="auto"/>
              <w:bottom w:val="single" w:sz="4" w:space="0" w:color="auto"/>
            </w:tcBorders>
            <w:vAlign w:val="center"/>
          </w:tcPr>
          <w:p w14:paraId="2D1DF632" w14:textId="1CE50BEF" w:rsidR="00FB43A9" w:rsidRDefault="00FB43A9" w:rsidP="00ED7E6B">
            <w:pPr>
              <w:ind w:right="-111"/>
              <w:jc w:val="center"/>
              <w:rPr>
                <w:sz w:val="18"/>
                <w:szCs w:val="18"/>
                <w:lang w:val="en-GB"/>
              </w:rPr>
            </w:pPr>
            <w:r>
              <w:rPr>
                <w:sz w:val="18"/>
                <w:szCs w:val="18"/>
                <w:lang w:val="en-GB"/>
              </w:rPr>
              <w:t>2</w:t>
            </w:r>
          </w:p>
        </w:tc>
        <w:tc>
          <w:tcPr>
            <w:tcW w:w="1389" w:type="dxa"/>
            <w:tcBorders>
              <w:top w:val="single" w:sz="8" w:space="0" w:color="auto"/>
              <w:bottom w:val="single" w:sz="4" w:space="0" w:color="auto"/>
              <w:right w:val="single" w:sz="8" w:space="0" w:color="auto"/>
            </w:tcBorders>
            <w:shd w:val="clear" w:color="auto" w:fill="00B050"/>
            <w:vAlign w:val="center"/>
          </w:tcPr>
          <w:p w14:paraId="717AAA03" w14:textId="2F0EAB6F" w:rsidR="00FB43A9" w:rsidRDefault="00FB43A9" w:rsidP="001264A8">
            <w:pPr>
              <w:ind w:left="-139" w:right="-111"/>
              <w:jc w:val="center"/>
              <w:rPr>
                <w:sz w:val="18"/>
                <w:szCs w:val="18"/>
                <w:lang w:val="en-GB"/>
              </w:rPr>
            </w:pPr>
            <w:r>
              <w:rPr>
                <w:sz w:val="18"/>
                <w:szCs w:val="18"/>
                <w:lang w:val="en-GB"/>
              </w:rPr>
              <w:t>Non-critical</w:t>
            </w:r>
          </w:p>
        </w:tc>
        <w:tc>
          <w:tcPr>
            <w:tcW w:w="2149" w:type="dxa"/>
            <w:tcBorders>
              <w:top w:val="single" w:sz="8" w:space="0" w:color="auto"/>
              <w:left w:val="single" w:sz="8" w:space="0" w:color="auto"/>
              <w:bottom w:val="single" w:sz="8" w:space="0" w:color="auto"/>
              <w:right w:val="single" w:sz="8" w:space="0" w:color="auto"/>
            </w:tcBorders>
          </w:tcPr>
          <w:p w14:paraId="09D92ABB" w14:textId="77777777" w:rsidR="00FB43A9" w:rsidRDefault="00FB43A9" w:rsidP="00ED7E6B">
            <w:pPr>
              <w:ind w:right="-111"/>
              <w:rPr>
                <w:sz w:val="18"/>
                <w:szCs w:val="18"/>
                <w:lang w:val="en-GB"/>
              </w:rPr>
            </w:pPr>
          </w:p>
        </w:tc>
      </w:tr>
      <w:tr w:rsidR="00FB43A9" w:rsidRPr="00D02B35" w14:paraId="77D08616" w14:textId="77777777" w:rsidTr="00A8624A">
        <w:trPr>
          <w:trHeight w:val="643"/>
        </w:trPr>
        <w:tc>
          <w:tcPr>
            <w:tcW w:w="1696" w:type="dxa"/>
            <w:vMerge w:val="restart"/>
            <w:tcBorders>
              <w:left w:val="single" w:sz="8" w:space="0" w:color="auto"/>
              <w:bottom w:val="single" w:sz="8" w:space="0" w:color="auto"/>
              <w:right w:val="single" w:sz="8" w:space="0" w:color="auto"/>
            </w:tcBorders>
            <w:vAlign w:val="center"/>
          </w:tcPr>
          <w:p w14:paraId="06781820" w14:textId="09B80E8F" w:rsidR="00FB43A9" w:rsidRDefault="00FB43A9" w:rsidP="00ED7E6B">
            <w:pPr>
              <w:ind w:right="-111"/>
              <w:rPr>
                <w:sz w:val="18"/>
                <w:szCs w:val="18"/>
                <w:lang w:val="en-GB"/>
              </w:rPr>
            </w:pPr>
            <w:r>
              <w:rPr>
                <w:sz w:val="18"/>
                <w:szCs w:val="18"/>
                <w:lang w:val="en-GB"/>
              </w:rPr>
              <w:t>ADAMTS-13-Activity</w:t>
            </w:r>
          </w:p>
        </w:tc>
        <w:tc>
          <w:tcPr>
            <w:tcW w:w="2410" w:type="dxa"/>
            <w:tcBorders>
              <w:left w:val="single" w:sz="8" w:space="0" w:color="auto"/>
              <w:bottom w:val="single" w:sz="8" w:space="0" w:color="auto"/>
              <w:right w:val="single" w:sz="8" w:space="0" w:color="auto"/>
            </w:tcBorders>
          </w:tcPr>
          <w:p w14:paraId="48423261" w14:textId="7C85DF54" w:rsidR="00FB43A9" w:rsidRDefault="00FB43A9" w:rsidP="00ED7E6B">
            <w:pPr>
              <w:ind w:left="-105" w:right="-111"/>
              <w:rPr>
                <w:sz w:val="18"/>
                <w:szCs w:val="18"/>
                <w:lang w:val="en-GB"/>
              </w:rPr>
            </w:pPr>
            <w:r>
              <w:rPr>
                <w:sz w:val="18"/>
                <w:szCs w:val="18"/>
                <w:lang w:val="en-GB"/>
              </w:rPr>
              <w:t>False diagnosis/therapy</w:t>
            </w:r>
          </w:p>
        </w:tc>
        <w:tc>
          <w:tcPr>
            <w:tcW w:w="340" w:type="dxa"/>
            <w:tcBorders>
              <w:left w:val="single" w:sz="8" w:space="0" w:color="auto"/>
              <w:bottom w:val="single" w:sz="8" w:space="0" w:color="auto"/>
            </w:tcBorders>
            <w:vAlign w:val="center"/>
          </w:tcPr>
          <w:p w14:paraId="2E939A44" w14:textId="2A554C03" w:rsidR="00FB43A9" w:rsidRDefault="00FB43A9" w:rsidP="00ED7E6B">
            <w:pPr>
              <w:ind w:left="-109" w:right="-111"/>
              <w:jc w:val="center"/>
              <w:rPr>
                <w:sz w:val="18"/>
                <w:szCs w:val="18"/>
                <w:lang w:val="en-GB"/>
              </w:rPr>
            </w:pPr>
            <w:r>
              <w:rPr>
                <w:sz w:val="18"/>
                <w:szCs w:val="18"/>
                <w:lang w:val="en-GB"/>
              </w:rPr>
              <w:t>2</w:t>
            </w:r>
          </w:p>
        </w:tc>
        <w:tc>
          <w:tcPr>
            <w:tcW w:w="340" w:type="dxa"/>
            <w:tcBorders>
              <w:bottom w:val="single" w:sz="8" w:space="0" w:color="auto"/>
            </w:tcBorders>
            <w:vAlign w:val="center"/>
          </w:tcPr>
          <w:p w14:paraId="6F91F32C" w14:textId="2551E0C3" w:rsidR="00FB43A9" w:rsidRDefault="00FB43A9" w:rsidP="00ED7E6B">
            <w:pPr>
              <w:ind w:left="-108" w:right="-111"/>
              <w:jc w:val="center"/>
              <w:rPr>
                <w:sz w:val="18"/>
                <w:szCs w:val="18"/>
                <w:lang w:val="en-GB"/>
              </w:rPr>
            </w:pPr>
            <w:r>
              <w:rPr>
                <w:sz w:val="18"/>
                <w:szCs w:val="18"/>
                <w:lang w:val="en-GB"/>
              </w:rPr>
              <w:t>2</w:t>
            </w:r>
          </w:p>
        </w:tc>
        <w:tc>
          <w:tcPr>
            <w:tcW w:w="340" w:type="dxa"/>
            <w:tcBorders>
              <w:bottom w:val="single" w:sz="8" w:space="0" w:color="auto"/>
            </w:tcBorders>
            <w:vAlign w:val="center"/>
          </w:tcPr>
          <w:p w14:paraId="4D2AE255" w14:textId="5128723B" w:rsidR="00FB43A9" w:rsidRDefault="00FB43A9" w:rsidP="00ED7E6B">
            <w:pPr>
              <w:ind w:left="-82" w:right="-111"/>
              <w:jc w:val="center"/>
              <w:rPr>
                <w:sz w:val="18"/>
                <w:szCs w:val="18"/>
                <w:lang w:val="en-GB"/>
              </w:rPr>
            </w:pPr>
            <w:r>
              <w:rPr>
                <w:sz w:val="18"/>
                <w:szCs w:val="18"/>
                <w:lang w:val="en-GB"/>
              </w:rPr>
              <w:t>3</w:t>
            </w:r>
          </w:p>
        </w:tc>
        <w:tc>
          <w:tcPr>
            <w:tcW w:w="426" w:type="dxa"/>
            <w:tcBorders>
              <w:bottom w:val="single" w:sz="8" w:space="0" w:color="auto"/>
            </w:tcBorders>
            <w:vAlign w:val="center"/>
          </w:tcPr>
          <w:p w14:paraId="0139C0C2" w14:textId="4B6C9226" w:rsidR="00FB43A9" w:rsidRDefault="00FB43A9" w:rsidP="00ED7E6B">
            <w:pPr>
              <w:ind w:right="-111"/>
              <w:jc w:val="center"/>
              <w:rPr>
                <w:sz w:val="18"/>
                <w:szCs w:val="18"/>
                <w:lang w:val="en-GB"/>
              </w:rPr>
            </w:pPr>
            <w:r>
              <w:rPr>
                <w:sz w:val="18"/>
                <w:szCs w:val="18"/>
                <w:lang w:val="en-GB"/>
              </w:rPr>
              <w:t>12</w:t>
            </w:r>
          </w:p>
        </w:tc>
        <w:tc>
          <w:tcPr>
            <w:tcW w:w="1389" w:type="dxa"/>
            <w:tcBorders>
              <w:bottom w:val="single" w:sz="8" w:space="0" w:color="auto"/>
              <w:right w:val="single" w:sz="8" w:space="0" w:color="auto"/>
            </w:tcBorders>
            <w:shd w:val="clear" w:color="auto" w:fill="FF0000"/>
            <w:vAlign w:val="center"/>
          </w:tcPr>
          <w:p w14:paraId="1FA478D8" w14:textId="1934481D" w:rsidR="00FB43A9" w:rsidRDefault="00FB43A9" w:rsidP="001264A8">
            <w:pPr>
              <w:ind w:left="-139" w:right="-111"/>
              <w:jc w:val="center"/>
              <w:rPr>
                <w:sz w:val="18"/>
                <w:szCs w:val="18"/>
                <w:lang w:val="en-GB"/>
              </w:rPr>
            </w:pPr>
            <w:r>
              <w:rPr>
                <w:sz w:val="18"/>
                <w:szCs w:val="18"/>
                <w:lang w:val="en-GB"/>
              </w:rPr>
              <w:t>Critical</w:t>
            </w:r>
          </w:p>
        </w:tc>
        <w:tc>
          <w:tcPr>
            <w:tcW w:w="2149" w:type="dxa"/>
            <w:vMerge w:val="restart"/>
            <w:tcBorders>
              <w:left w:val="single" w:sz="8" w:space="0" w:color="auto"/>
              <w:bottom w:val="single" w:sz="8" w:space="0" w:color="auto"/>
              <w:right w:val="single" w:sz="8" w:space="0" w:color="auto"/>
            </w:tcBorders>
          </w:tcPr>
          <w:p w14:paraId="168D6094" w14:textId="77777777" w:rsidR="001264A8" w:rsidRDefault="001264A8" w:rsidP="00ED7E6B">
            <w:pPr>
              <w:ind w:right="-111"/>
              <w:rPr>
                <w:sz w:val="18"/>
                <w:szCs w:val="18"/>
                <w:lang w:val="en-GB"/>
              </w:rPr>
            </w:pPr>
          </w:p>
          <w:p w14:paraId="580584D5" w14:textId="0D748988" w:rsidR="00FB43A9" w:rsidRDefault="001264A8" w:rsidP="00ED7E6B">
            <w:pPr>
              <w:ind w:right="-111"/>
              <w:rPr>
                <w:sz w:val="18"/>
                <w:szCs w:val="18"/>
                <w:lang w:val="en-GB"/>
              </w:rPr>
            </w:pPr>
            <w:r>
              <w:rPr>
                <w:sz w:val="18"/>
                <w:szCs w:val="18"/>
                <w:lang w:val="en-GB"/>
              </w:rPr>
              <w:t>Un</w:t>
            </w:r>
            <w:r w:rsidR="00FB43A9">
              <w:rPr>
                <w:sz w:val="18"/>
                <w:szCs w:val="18"/>
                <w:lang w:val="en-GB"/>
              </w:rPr>
              <w:t>acceptable risk</w:t>
            </w:r>
            <w:r w:rsidR="00392B01">
              <w:rPr>
                <w:sz w:val="18"/>
                <w:szCs w:val="18"/>
                <w:lang w:val="en-GB"/>
              </w:rPr>
              <w:t>,</w:t>
            </w:r>
            <w:r w:rsidR="00FB43A9">
              <w:rPr>
                <w:sz w:val="18"/>
                <w:szCs w:val="18"/>
                <w:lang w:val="en-GB"/>
              </w:rPr>
              <w:t xml:space="preserve"> particularly of a false diagnosis</w:t>
            </w:r>
            <w:r w:rsidR="00ED7E6B">
              <w:rPr>
                <w:sz w:val="18"/>
                <w:szCs w:val="18"/>
                <w:lang w:val="en-GB"/>
              </w:rPr>
              <w:t xml:space="preserve">. </w:t>
            </w:r>
            <w:r w:rsidR="00392B01">
              <w:rPr>
                <w:sz w:val="18"/>
                <w:szCs w:val="18"/>
                <w:lang w:val="en-GB"/>
              </w:rPr>
              <w:t>Reduction of risk</w:t>
            </w:r>
            <w:r w:rsidR="00ED7E6B">
              <w:rPr>
                <w:sz w:val="18"/>
                <w:szCs w:val="18"/>
                <w:lang w:val="en-GB"/>
              </w:rPr>
              <w:t xml:space="preserve"> through automated procedures in connection with an LIS</w:t>
            </w:r>
          </w:p>
          <w:p w14:paraId="03BCA9F3" w14:textId="48BEBA7F" w:rsidR="001264A8" w:rsidRDefault="001264A8" w:rsidP="00ED7E6B">
            <w:pPr>
              <w:ind w:right="-111"/>
              <w:rPr>
                <w:sz w:val="18"/>
                <w:szCs w:val="18"/>
                <w:lang w:val="en-GB"/>
              </w:rPr>
            </w:pPr>
          </w:p>
        </w:tc>
      </w:tr>
      <w:tr w:rsidR="00FB43A9" w14:paraId="3930CD0F" w14:textId="77777777" w:rsidTr="00A8624A">
        <w:tc>
          <w:tcPr>
            <w:tcW w:w="1696" w:type="dxa"/>
            <w:vMerge/>
            <w:tcBorders>
              <w:top w:val="single" w:sz="4" w:space="0" w:color="auto"/>
              <w:left w:val="single" w:sz="8" w:space="0" w:color="auto"/>
              <w:bottom w:val="single" w:sz="8" w:space="0" w:color="auto"/>
              <w:right w:val="single" w:sz="8" w:space="0" w:color="auto"/>
            </w:tcBorders>
          </w:tcPr>
          <w:p w14:paraId="5C2F8E6E" w14:textId="77777777" w:rsidR="00FB43A9" w:rsidRDefault="00FB43A9" w:rsidP="00FB43A9">
            <w:pPr>
              <w:rPr>
                <w:sz w:val="18"/>
                <w:szCs w:val="18"/>
                <w:lang w:val="en-GB"/>
              </w:rPr>
            </w:pPr>
          </w:p>
        </w:tc>
        <w:tc>
          <w:tcPr>
            <w:tcW w:w="2410" w:type="dxa"/>
            <w:tcBorders>
              <w:top w:val="single" w:sz="8" w:space="0" w:color="auto"/>
              <w:left w:val="single" w:sz="8" w:space="0" w:color="auto"/>
              <w:bottom w:val="single" w:sz="8" w:space="0" w:color="auto"/>
              <w:right w:val="single" w:sz="8" w:space="0" w:color="auto"/>
            </w:tcBorders>
          </w:tcPr>
          <w:p w14:paraId="2777FEAF" w14:textId="36D59A78" w:rsidR="00FB43A9" w:rsidRDefault="00FB43A9" w:rsidP="00ED7E6B">
            <w:pPr>
              <w:ind w:left="-105"/>
              <w:rPr>
                <w:sz w:val="18"/>
                <w:szCs w:val="18"/>
                <w:lang w:val="en-GB"/>
              </w:rPr>
            </w:pPr>
            <w:r>
              <w:rPr>
                <w:sz w:val="18"/>
                <w:szCs w:val="18"/>
                <w:lang w:val="en-GB"/>
              </w:rPr>
              <w:t>Delayed diagnosis/therapy</w:t>
            </w:r>
          </w:p>
        </w:tc>
        <w:tc>
          <w:tcPr>
            <w:tcW w:w="340" w:type="dxa"/>
            <w:tcBorders>
              <w:top w:val="single" w:sz="8" w:space="0" w:color="auto"/>
              <w:left w:val="single" w:sz="8" w:space="0" w:color="auto"/>
              <w:bottom w:val="single" w:sz="8" w:space="0" w:color="auto"/>
            </w:tcBorders>
            <w:vAlign w:val="center"/>
          </w:tcPr>
          <w:p w14:paraId="4172488E" w14:textId="48BD4126" w:rsidR="00FB43A9" w:rsidRDefault="00FB43A9" w:rsidP="00ED7E6B">
            <w:pPr>
              <w:ind w:left="-109"/>
              <w:jc w:val="center"/>
              <w:rPr>
                <w:sz w:val="18"/>
                <w:szCs w:val="18"/>
                <w:lang w:val="en-GB"/>
              </w:rPr>
            </w:pPr>
            <w:r>
              <w:rPr>
                <w:sz w:val="18"/>
                <w:szCs w:val="18"/>
                <w:lang w:val="en-GB"/>
              </w:rPr>
              <w:t>2</w:t>
            </w:r>
          </w:p>
        </w:tc>
        <w:tc>
          <w:tcPr>
            <w:tcW w:w="340" w:type="dxa"/>
            <w:tcBorders>
              <w:top w:val="single" w:sz="8" w:space="0" w:color="auto"/>
              <w:bottom w:val="single" w:sz="8" w:space="0" w:color="auto"/>
            </w:tcBorders>
            <w:vAlign w:val="center"/>
          </w:tcPr>
          <w:p w14:paraId="58564647" w14:textId="1F792B58" w:rsidR="00FB43A9" w:rsidRDefault="00FB43A9" w:rsidP="00ED7E6B">
            <w:pPr>
              <w:ind w:left="-108"/>
              <w:jc w:val="center"/>
              <w:rPr>
                <w:sz w:val="18"/>
                <w:szCs w:val="18"/>
                <w:lang w:val="en-GB"/>
              </w:rPr>
            </w:pPr>
            <w:r>
              <w:rPr>
                <w:sz w:val="18"/>
                <w:szCs w:val="18"/>
                <w:lang w:val="en-GB"/>
              </w:rPr>
              <w:t>1</w:t>
            </w:r>
          </w:p>
        </w:tc>
        <w:tc>
          <w:tcPr>
            <w:tcW w:w="340" w:type="dxa"/>
            <w:tcBorders>
              <w:top w:val="single" w:sz="8" w:space="0" w:color="auto"/>
              <w:bottom w:val="single" w:sz="8" w:space="0" w:color="auto"/>
            </w:tcBorders>
            <w:vAlign w:val="center"/>
          </w:tcPr>
          <w:p w14:paraId="00D2F1B5" w14:textId="06808EF6" w:rsidR="00FB43A9" w:rsidRDefault="00FB43A9" w:rsidP="00ED7E6B">
            <w:pPr>
              <w:ind w:left="-82"/>
              <w:jc w:val="center"/>
              <w:rPr>
                <w:sz w:val="18"/>
                <w:szCs w:val="18"/>
                <w:lang w:val="en-GB"/>
              </w:rPr>
            </w:pPr>
            <w:r>
              <w:rPr>
                <w:sz w:val="18"/>
                <w:szCs w:val="18"/>
                <w:lang w:val="en-GB"/>
              </w:rPr>
              <w:t>3</w:t>
            </w:r>
          </w:p>
        </w:tc>
        <w:tc>
          <w:tcPr>
            <w:tcW w:w="426" w:type="dxa"/>
            <w:tcBorders>
              <w:top w:val="single" w:sz="8" w:space="0" w:color="auto"/>
              <w:bottom w:val="single" w:sz="8" w:space="0" w:color="auto"/>
            </w:tcBorders>
            <w:vAlign w:val="center"/>
          </w:tcPr>
          <w:p w14:paraId="378F4D0D" w14:textId="0CF92B7E" w:rsidR="00FB43A9" w:rsidRDefault="00FB43A9" w:rsidP="00ED7E6B">
            <w:pPr>
              <w:jc w:val="center"/>
              <w:rPr>
                <w:sz w:val="18"/>
                <w:szCs w:val="18"/>
                <w:lang w:val="en-GB"/>
              </w:rPr>
            </w:pPr>
            <w:r>
              <w:rPr>
                <w:sz w:val="18"/>
                <w:szCs w:val="18"/>
                <w:lang w:val="en-GB"/>
              </w:rPr>
              <w:t>6</w:t>
            </w:r>
          </w:p>
        </w:tc>
        <w:tc>
          <w:tcPr>
            <w:tcW w:w="1389" w:type="dxa"/>
            <w:tcBorders>
              <w:top w:val="single" w:sz="8" w:space="0" w:color="auto"/>
              <w:bottom w:val="single" w:sz="8" w:space="0" w:color="auto"/>
              <w:right w:val="single" w:sz="8" w:space="0" w:color="auto"/>
            </w:tcBorders>
            <w:shd w:val="clear" w:color="auto" w:fill="FFFF00"/>
            <w:vAlign w:val="center"/>
          </w:tcPr>
          <w:p w14:paraId="0F8BAA38" w14:textId="01F28378" w:rsidR="00FB43A9" w:rsidRDefault="00FB43A9" w:rsidP="001264A8">
            <w:pPr>
              <w:ind w:left="-139"/>
              <w:jc w:val="center"/>
              <w:rPr>
                <w:sz w:val="18"/>
                <w:szCs w:val="18"/>
                <w:lang w:val="en-GB"/>
              </w:rPr>
            </w:pPr>
            <w:r>
              <w:rPr>
                <w:sz w:val="18"/>
                <w:szCs w:val="18"/>
                <w:lang w:val="en-GB"/>
              </w:rPr>
              <w:t>Borderline</w:t>
            </w:r>
          </w:p>
        </w:tc>
        <w:tc>
          <w:tcPr>
            <w:tcW w:w="2149" w:type="dxa"/>
            <w:vMerge/>
            <w:tcBorders>
              <w:top w:val="single" w:sz="4" w:space="0" w:color="auto"/>
              <w:left w:val="single" w:sz="8" w:space="0" w:color="auto"/>
              <w:bottom w:val="single" w:sz="8" w:space="0" w:color="auto"/>
              <w:right w:val="single" w:sz="8" w:space="0" w:color="auto"/>
            </w:tcBorders>
          </w:tcPr>
          <w:p w14:paraId="7C0DD1A6" w14:textId="77777777" w:rsidR="00FB43A9" w:rsidRDefault="00FB43A9" w:rsidP="00FB43A9">
            <w:pPr>
              <w:rPr>
                <w:sz w:val="18"/>
                <w:szCs w:val="18"/>
                <w:lang w:val="en-GB"/>
              </w:rPr>
            </w:pPr>
          </w:p>
        </w:tc>
      </w:tr>
    </w:tbl>
    <w:p w14:paraId="5AA5AF93" w14:textId="2C40221E" w:rsidR="00F80F8D" w:rsidRPr="006C5B12" w:rsidRDefault="00F80F8D" w:rsidP="00F80F8D">
      <w:pPr>
        <w:rPr>
          <w:sz w:val="18"/>
          <w:szCs w:val="18"/>
          <w:lang w:val="en-GB"/>
        </w:rPr>
      </w:pPr>
      <w:r w:rsidRPr="006C5B12">
        <w:rPr>
          <w:sz w:val="18"/>
          <w:szCs w:val="18"/>
          <w:lang w:val="en-GB"/>
        </w:rPr>
        <w:t xml:space="preserve">* </w:t>
      </w:r>
      <w:r w:rsidR="0009523E">
        <w:rPr>
          <w:sz w:val="18"/>
          <w:szCs w:val="18"/>
          <w:lang w:val="en-GB"/>
        </w:rPr>
        <w:t>Von</w:t>
      </w:r>
      <w:r w:rsidRPr="006C5B12">
        <w:rPr>
          <w:sz w:val="18"/>
          <w:szCs w:val="18"/>
          <w:lang w:val="en-GB"/>
        </w:rPr>
        <w:t xml:space="preserve"> Willebrand</w:t>
      </w:r>
      <w:r w:rsidR="0009523E">
        <w:rPr>
          <w:sz w:val="18"/>
          <w:szCs w:val="18"/>
          <w:lang w:val="en-GB"/>
        </w:rPr>
        <w:t xml:space="preserve"> factor</w:t>
      </w:r>
      <w:r w:rsidRPr="006C5B12">
        <w:rPr>
          <w:sz w:val="18"/>
          <w:szCs w:val="18"/>
          <w:lang w:val="en-GB"/>
        </w:rPr>
        <w:t xml:space="preserve"> (</w:t>
      </w:r>
      <w:proofErr w:type="spellStart"/>
      <w:r w:rsidRPr="006C5B12">
        <w:rPr>
          <w:sz w:val="18"/>
          <w:szCs w:val="18"/>
          <w:lang w:val="en-GB"/>
        </w:rPr>
        <w:t>vWF</w:t>
      </w:r>
      <w:proofErr w:type="spellEnd"/>
      <w:r w:rsidRPr="006C5B12">
        <w:rPr>
          <w:sz w:val="18"/>
          <w:szCs w:val="18"/>
          <w:lang w:val="en-GB"/>
        </w:rPr>
        <w:t>): Collagen</w:t>
      </w:r>
      <w:r w:rsidR="0009523E">
        <w:rPr>
          <w:sz w:val="18"/>
          <w:szCs w:val="18"/>
          <w:lang w:val="en-GB"/>
        </w:rPr>
        <w:t xml:space="preserve">-binding activity </w:t>
      </w:r>
    </w:p>
    <w:p w14:paraId="27A3DF53" w14:textId="53E6F21B" w:rsidR="00E838BF" w:rsidRPr="006C5B12" w:rsidRDefault="0009523E" w:rsidP="001F2DAB">
      <w:pPr>
        <w:jc w:val="both"/>
        <w:rPr>
          <w:lang w:val="en-GB"/>
        </w:rPr>
      </w:pPr>
      <w:r w:rsidRPr="0009523E">
        <w:rPr>
          <w:lang w:val="en-GB"/>
        </w:rPr>
        <w:t xml:space="preserve">The </w:t>
      </w:r>
      <w:r>
        <w:rPr>
          <w:lang w:val="en-GB"/>
        </w:rPr>
        <w:t>sample</w:t>
      </w:r>
      <w:r w:rsidRPr="0009523E">
        <w:rPr>
          <w:lang w:val="en-GB"/>
        </w:rPr>
        <w:t xml:space="preserve"> approach implemented above reflects the dependence of the severity of potential harm to the patient on the clinical significance of the </w:t>
      </w:r>
      <w:r w:rsidR="00392B01">
        <w:rPr>
          <w:lang w:val="en-GB"/>
        </w:rPr>
        <w:t>analyte</w:t>
      </w:r>
      <w:r w:rsidRPr="0009523E">
        <w:rPr>
          <w:lang w:val="en-GB"/>
        </w:rPr>
        <w:t xml:space="preserve"> under investigation, as described </w:t>
      </w:r>
      <w:r w:rsidR="00D52EDD">
        <w:rPr>
          <w:lang w:val="en-GB"/>
        </w:rPr>
        <w:t>under</w:t>
      </w:r>
      <w:r w:rsidRPr="0009523E">
        <w:rPr>
          <w:lang w:val="en-GB"/>
        </w:rPr>
        <w:t xml:space="preserve"> </w:t>
      </w:r>
      <w:r w:rsidR="00D52EDD">
        <w:rPr>
          <w:lang w:val="en-GB"/>
        </w:rPr>
        <w:t>Point</w:t>
      </w:r>
      <w:r w:rsidRPr="0009523E">
        <w:rPr>
          <w:lang w:val="en-GB"/>
        </w:rPr>
        <w:t xml:space="preserve"> 2.3 of this document. </w:t>
      </w:r>
      <w:r>
        <w:rPr>
          <w:lang w:val="en-GB"/>
        </w:rPr>
        <w:t>T</w:t>
      </w:r>
      <w:r w:rsidRPr="0009523E">
        <w:rPr>
          <w:lang w:val="en-GB"/>
        </w:rPr>
        <w:t xml:space="preserve">his </w:t>
      </w:r>
      <w:r>
        <w:rPr>
          <w:lang w:val="en-GB"/>
        </w:rPr>
        <w:t>approach</w:t>
      </w:r>
      <w:r w:rsidRPr="0009523E">
        <w:rPr>
          <w:lang w:val="en-GB"/>
        </w:rPr>
        <w:t xml:space="preserve"> allows </w:t>
      </w:r>
      <w:r>
        <w:rPr>
          <w:lang w:val="en-GB"/>
        </w:rPr>
        <w:t>a</w:t>
      </w:r>
      <w:r w:rsidRPr="0009523E">
        <w:rPr>
          <w:lang w:val="en-GB"/>
        </w:rPr>
        <w:t xml:space="preserve"> summary analysis </w:t>
      </w:r>
      <w:r>
        <w:rPr>
          <w:lang w:val="en-GB"/>
        </w:rPr>
        <w:t xml:space="preserve">to be made </w:t>
      </w:r>
      <w:r w:rsidRPr="0009523E">
        <w:rPr>
          <w:lang w:val="en-GB"/>
        </w:rPr>
        <w:t xml:space="preserve">of a defined, generic </w:t>
      </w:r>
      <w:r>
        <w:rPr>
          <w:lang w:val="en-GB"/>
        </w:rPr>
        <w:t>device</w:t>
      </w:r>
      <w:r w:rsidRPr="0009523E">
        <w:rPr>
          <w:lang w:val="en-GB"/>
        </w:rPr>
        <w:t xml:space="preserve"> group of in-house IVDs. In a more conventional </w:t>
      </w:r>
      <w:r>
        <w:rPr>
          <w:lang w:val="en-GB"/>
        </w:rPr>
        <w:t>approach</w:t>
      </w:r>
      <w:r w:rsidRPr="0009523E">
        <w:rPr>
          <w:lang w:val="en-GB"/>
        </w:rPr>
        <w:t>, the factors [</w:t>
      </w:r>
      <w:r w:rsidR="00A8624A">
        <w:rPr>
          <w:lang w:val="en-GB"/>
        </w:rPr>
        <w:t>P</w:t>
      </w:r>
      <w:r w:rsidRPr="0009523E">
        <w:rPr>
          <w:lang w:val="en-GB"/>
        </w:rPr>
        <w:t>], [</w:t>
      </w:r>
      <w:r w:rsidR="00A8624A">
        <w:rPr>
          <w:lang w:val="en-GB"/>
        </w:rPr>
        <w:t>D</w:t>
      </w:r>
      <w:r w:rsidRPr="0009523E">
        <w:rPr>
          <w:lang w:val="en-GB"/>
        </w:rPr>
        <w:t xml:space="preserve">] and [S], as well as the resulting RPN, would be presented </w:t>
      </w:r>
      <w:r w:rsidR="00D14B98">
        <w:rPr>
          <w:lang w:val="en-GB"/>
        </w:rPr>
        <w:t xml:space="preserve">on a </w:t>
      </w:r>
      <w:r w:rsidRPr="0009523E">
        <w:rPr>
          <w:lang w:val="en-GB"/>
        </w:rPr>
        <w:t>test-specific</w:t>
      </w:r>
      <w:r w:rsidR="00D14B98">
        <w:rPr>
          <w:lang w:val="en-GB"/>
        </w:rPr>
        <w:t xml:space="preserve"> basis</w:t>
      </w:r>
      <w:r w:rsidRPr="0009523E">
        <w:rPr>
          <w:lang w:val="en-GB"/>
        </w:rPr>
        <w:t xml:space="preserve"> in only one table (</w:t>
      </w:r>
      <w:r w:rsidR="00A8624A">
        <w:rPr>
          <w:lang w:val="en-GB"/>
        </w:rPr>
        <w:t>see</w:t>
      </w:r>
      <w:r w:rsidRPr="0009523E">
        <w:rPr>
          <w:lang w:val="en-GB"/>
        </w:rPr>
        <w:t>, for example, Table G.1 in EN ISO 22367:2020).</w:t>
      </w:r>
      <w:r w:rsidR="00D14B98">
        <w:rPr>
          <w:lang w:val="en-GB"/>
        </w:rPr>
        <w:t xml:space="preserve"> </w:t>
      </w:r>
    </w:p>
    <w:sectPr w:rsidR="00E838BF" w:rsidRPr="006C5B1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5910" w14:textId="77777777" w:rsidR="00C20B90" w:rsidRDefault="00C20B90" w:rsidP="00D93696">
      <w:pPr>
        <w:spacing w:after="0" w:line="240" w:lineRule="auto"/>
      </w:pPr>
      <w:r>
        <w:separator/>
      </w:r>
    </w:p>
  </w:endnote>
  <w:endnote w:type="continuationSeparator" w:id="0">
    <w:p w14:paraId="057DE913" w14:textId="77777777" w:rsidR="00C20B90" w:rsidRDefault="00C20B90" w:rsidP="00D9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21BC" w14:textId="30D957D1" w:rsidR="008B0F6D" w:rsidRDefault="008B0F6D" w:rsidP="0019494F">
    <w:pPr>
      <w:pStyle w:val="Kopfzeile"/>
    </w:pPr>
    <w:r>
      <w:t>I. Dombrink</w:t>
    </w:r>
    <w:r w:rsidR="005971E8">
      <w:t xml:space="preserve">, J. Müller, </w:t>
    </w:r>
    <w:r>
      <w:ptab w:relativeTo="margin" w:alignment="center" w:leader="none"/>
    </w:r>
    <w:r>
      <w:ptab w:relativeTo="margin" w:alignment="right" w:leader="none"/>
    </w:r>
    <w:r>
      <w:t>2</w:t>
    </w:r>
    <w:r w:rsidR="00D14B98">
      <w:t>/</w:t>
    </w:r>
    <w:r>
      <w:t>9</w:t>
    </w:r>
    <w:r w:rsidR="00D14B98">
      <w:t>/</w:t>
    </w:r>
    <w:r>
      <w:t>2021 -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A92C4" w14:textId="77777777" w:rsidR="00C20B90" w:rsidRDefault="00C20B90" w:rsidP="00D93696">
      <w:pPr>
        <w:spacing w:after="0" w:line="240" w:lineRule="auto"/>
      </w:pPr>
      <w:r>
        <w:separator/>
      </w:r>
    </w:p>
  </w:footnote>
  <w:footnote w:type="continuationSeparator" w:id="0">
    <w:p w14:paraId="4D44BF18" w14:textId="77777777" w:rsidR="00C20B90" w:rsidRDefault="00C20B90" w:rsidP="00D93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371F" w14:textId="517D7C80" w:rsidR="00D93696" w:rsidRPr="00326BC1" w:rsidRDefault="00326BC1" w:rsidP="0019494F">
    <w:pPr>
      <w:jc w:val="both"/>
      <w:rPr>
        <w:b/>
        <w:lang w:val="en-GB"/>
      </w:rPr>
    </w:pPr>
    <w:r w:rsidRPr="00326BC1">
      <w:rPr>
        <w:b/>
        <w:lang w:val="en-GB"/>
      </w:rPr>
      <w:t xml:space="preserve">Guidance on </w:t>
    </w:r>
    <w:r>
      <w:rPr>
        <w:b/>
        <w:lang w:val="en-GB"/>
      </w:rPr>
      <w:t>“</w:t>
    </w:r>
    <w:r w:rsidR="00172715">
      <w:rPr>
        <w:b/>
        <w:lang w:val="en-GB"/>
      </w:rPr>
      <w:t>R</w:t>
    </w:r>
    <w:r>
      <w:rPr>
        <w:b/>
        <w:lang w:val="en-GB"/>
      </w:rPr>
      <w:t xml:space="preserve">isk </w:t>
    </w:r>
    <w:r w:rsidR="00172715">
      <w:rPr>
        <w:b/>
        <w:lang w:val="en-GB"/>
      </w:rPr>
      <w:t>M</w:t>
    </w:r>
    <w:r>
      <w:rPr>
        <w:b/>
        <w:lang w:val="en-GB"/>
      </w:rPr>
      <w:t xml:space="preserve">anagement” </w:t>
    </w:r>
    <w:r w:rsidR="00A27B81">
      <w:rPr>
        <w:b/>
        <w:lang w:val="en-GB"/>
      </w:rPr>
      <w:t>from</w:t>
    </w:r>
    <w:r>
      <w:rPr>
        <w:b/>
        <w:lang w:val="en-GB"/>
      </w:rPr>
      <w:t xml:space="preserve"> the AWMF’s Ad</w:t>
    </w:r>
    <w:r w:rsidR="0017185D">
      <w:rPr>
        <w:b/>
        <w:lang w:val="en-GB"/>
      </w:rPr>
      <w:t xml:space="preserve"> Ho</w:t>
    </w:r>
    <w:r>
      <w:rPr>
        <w:b/>
        <w:lang w:val="en-GB"/>
      </w:rPr>
      <w:t>c Commission IVD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31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D5158"/>
    <w:multiLevelType w:val="hybridMultilevel"/>
    <w:tmpl w:val="B9B63038"/>
    <w:lvl w:ilvl="0" w:tplc="200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362F9"/>
    <w:multiLevelType w:val="hybridMultilevel"/>
    <w:tmpl w:val="E5407022"/>
    <w:lvl w:ilvl="0" w:tplc="9A065C7E">
      <w:start w:val="1"/>
      <w:numFmt w:val="lowerLetter"/>
      <w:lvlText w:val="%1)"/>
      <w:lvlJc w:val="left"/>
      <w:pPr>
        <w:ind w:left="708" w:hanging="70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5212AC"/>
    <w:multiLevelType w:val="hybridMultilevel"/>
    <w:tmpl w:val="00645544"/>
    <w:lvl w:ilvl="0" w:tplc="2000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4725FB"/>
    <w:multiLevelType w:val="multilevel"/>
    <w:tmpl w:val="525051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2065A91"/>
    <w:multiLevelType w:val="hybridMultilevel"/>
    <w:tmpl w:val="9A7CF51A"/>
    <w:lvl w:ilvl="0" w:tplc="FAD20A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9B02F4"/>
    <w:multiLevelType w:val="hybridMultilevel"/>
    <w:tmpl w:val="957642C2"/>
    <w:lvl w:ilvl="0" w:tplc="F14C71DC">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414708D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B94B45"/>
    <w:multiLevelType w:val="hybridMultilevel"/>
    <w:tmpl w:val="A462B0C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61A28"/>
    <w:multiLevelType w:val="hybridMultilevel"/>
    <w:tmpl w:val="33ACB552"/>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0" w15:restartNumberingAfterBreak="0">
    <w:nsid w:val="4CD54B23"/>
    <w:multiLevelType w:val="hybridMultilevel"/>
    <w:tmpl w:val="A7F872DC"/>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345B0"/>
    <w:multiLevelType w:val="multilevel"/>
    <w:tmpl w:val="B4D61400"/>
    <w:lvl w:ilvl="0">
      <w:start w:val="1"/>
      <w:numFmt w:val="decimal"/>
      <w:pStyle w:val="ID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E27303"/>
    <w:multiLevelType w:val="hybridMultilevel"/>
    <w:tmpl w:val="03F402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08C380E"/>
    <w:multiLevelType w:val="hybridMultilevel"/>
    <w:tmpl w:val="6AEEAD56"/>
    <w:lvl w:ilvl="0" w:tplc="04070001">
      <w:start w:val="1"/>
      <w:numFmt w:val="bullet"/>
      <w:lvlText w:val=""/>
      <w:lvlJc w:val="left"/>
      <w:pPr>
        <w:ind w:left="557"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14" w15:restartNumberingAfterBreak="0">
    <w:nsid w:val="62A10678"/>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E352A1"/>
    <w:multiLevelType w:val="hybridMultilevel"/>
    <w:tmpl w:val="7CA2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755E8"/>
    <w:multiLevelType w:val="hybridMultilevel"/>
    <w:tmpl w:val="CA466A48"/>
    <w:lvl w:ilvl="0" w:tplc="200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D022B"/>
    <w:multiLevelType w:val="multilevel"/>
    <w:tmpl w:val="2000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6E707B8E"/>
    <w:multiLevelType w:val="hybridMultilevel"/>
    <w:tmpl w:val="CCA2FF14"/>
    <w:lvl w:ilvl="0" w:tplc="8AA8E82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91704F"/>
    <w:multiLevelType w:val="hybridMultilevel"/>
    <w:tmpl w:val="2000EC5E"/>
    <w:lvl w:ilvl="0" w:tplc="0407000B">
      <w:start w:val="1"/>
      <w:numFmt w:val="bullet"/>
      <w:lvlText w:val=""/>
      <w:lvlJc w:val="left"/>
      <w:pPr>
        <w:ind w:left="2770" w:hanging="360"/>
      </w:pPr>
      <w:rPr>
        <w:rFonts w:ascii="Wingdings" w:hAnsi="Wingdings"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20" w15:restartNumberingAfterBreak="0">
    <w:nsid w:val="77F6683B"/>
    <w:multiLevelType w:val="hybridMultilevel"/>
    <w:tmpl w:val="C33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B5166A"/>
    <w:multiLevelType w:val="hybridMultilevel"/>
    <w:tmpl w:val="4C5A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18"/>
  </w:num>
  <w:num w:numId="5">
    <w:abstractNumId w:val="6"/>
  </w:num>
  <w:num w:numId="6">
    <w:abstractNumId w:val="16"/>
  </w:num>
  <w:num w:numId="7">
    <w:abstractNumId w:val="21"/>
  </w:num>
  <w:num w:numId="8">
    <w:abstractNumId w:val="10"/>
  </w:num>
  <w:num w:numId="9">
    <w:abstractNumId w:val="15"/>
  </w:num>
  <w:num w:numId="10">
    <w:abstractNumId w:val="20"/>
  </w:num>
  <w:num w:numId="11">
    <w:abstractNumId w:val="5"/>
  </w:num>
  <w:num w:numId="12">
    <w:abstractNumId w:val="7"/>
  </w:num>
  <w:num w:numId="13">
    <w:abstractNumId w:val="4"/>
  </w:num>
  <w:num w:numId="14">
    <w:abstractNumId w:val="0"/>
  </w:num>
  <w:num w:numId="15">
    <w:abstractNumId w:val="11"/>
  </w:num>
  <w:num w:numId="16">
    <w:abstractNumId w:val="11"/>
  </w:num>
  <w:num w:numId="17">
    <w:abstractNumId w:val="11"/>
  </w:num>
  <w:num w:numId="18">
    <w:abstractNumId w:val="14"/>
  </w:num>
  <w:num w:numId="19">
    <w:abstractNumId w:val="17"/>
  </w:num>
  <w:num w:numId="20">
    <w:abstractNumId w:val="1"/>
  </w:num>
  <w:num w:numId="21">
    <w:abstractNumId w:val="9"/>
  </w:num>
  <w:num w:numId="22">
    <w:abstractNumId w:val="17"/>
  </w:num>
  <w:num w:numId="23">
    <w:abstractNumId w:val="8"/>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75"/>
    <w:rsid w:val="000035F8"/>
    <w:rsid w:val="00026596"/>
    <w:rsid w:val="00026B8C"/>
    <w:rsid w:val="00026C8D"/>
    <w:rsid w:val="00033BEA"/>
    <w:rsid w:val="00041205"/>
    <w:rsid w:val="00043B38"/>
    <w:rsid w:val="0004775A"/>
    <w:rsid w:val="00047D2D"/>
    <w:rsid w:val="00051D12"/>
    <w:rsid w:val="000521B7"/>
    <w:rsid w:val="00057F99"/>
    <w:rsid w:val="00066FCA"/>
    <w:rsid w:val="000722E8"/>
    <w:rsid w:val="00085DF4"/>
    <w:rsid w:val="00087CA3"/>
    <w:rsid w:val="000912C3"/>
    <w:rsid w:val="0009523E"/>
    <w:rsid w:val="000A0D15"/>
    <w:rsid w:val="000A1058"/>
    <w:rsid w:val="000B1FE4"/>
    <w:rsid w:val="000B397B"/>
    <w:rsid w:val="000C291A"/>
    <w:rsid w:val="000C4558"/>
    <w:rsid w:val="000C5308"/>
    <w:rsid w:val="000D7002"/>
    <w:rsid w:val="000D7C11"/>
    <w:rsid w:val="000E0C7E"/>
    <w:rsid w:val="000E2AFA"/>
    <w:rsid w:val="000E5AE1"/>
    <w:rsid w:val="000F0FC5"/>
    <w:rsid w:val="000F2568"/>
    <w:rsid w:val="00100407"/>
    <w:rsid w:val="00104BE1"/>
    <w:rsid w:val="00105843"/>
    <w:rsid w:val="00113DF0"/>
    <w:rsid w:val="00123C24"/>
    <w:rsid w:val="00124F63"/>
    <w:rsid w:val="001264A8"/>
    <w:rsid w:val="001274F0"/>
    <w:rsid w:val="00130CD0"/>
    <w:rsid w:val="00132FFB"/>
    <w:rsid w:val="001337F5"/>
    <w:rsid w:val="0014226F"/>
    <w:rsid w:val="0014238E"/>
    <w:rsid w:val="001513F3"/>
    <w:rsid w:val="001533CB"/>
    <w:rsid w:val="001571CA"/>
    <w:rsid w:val="00163A91"/>
    <w:rsid w:val="001646AF"/>
    <w:rsid w:val="0016556F"/>
    <w:rsid w:val="00167460"/>
    <w:rsid w:val="00167BA4"/>
    <w:rsid w:val="0017185D"/>
    <w:rsid w:val="00172715"/>
    <w:rsid w:val="001728E7"/>
    <w:rsid w:val="00175A62"/>
    <w:rsid w:val="00180324"/>
    <w:rsid w:val="0018338C"/>
    <w:rsid w:val="00184D8B"/>
    <w:rsid w:val="0018612E"/>
    <w:rsid w:val="00186636"/>
    <w:rsid w:val="001912E1"/>
    <w:rsid w:val="001931B8"/>
    <w:rsid w:val="00193376"/>
    <w:rsid w:val="0019494F"/>
    <w:rsid w:val="00195136"/>
    <w:rsid w:val="00195AD7"/>
    <w:rsid w:val="001A0D0B"/>
    <w:rsid w:val="001A7EFD"/>
    <w:rsid w:val="001B1CEA"/>
    <w:rsid w:val="001B2768"/>
    <w:rsid w:val="001B45BF"/>
    <w:rsid w:val="001B642C"/>
    <w:rsid w:val="001B736C"/>
    <w:rsid w:val="001C0947"/>
    <w:rsid w:val="001C49CC"/>
    <w:rsid w:val="001E03FF"/>
    <w:rsid w:val="001E12E9"/>
    <w:rsid w:val="001E4925"/>
    <w:rsid w:val="001E4B24"/>
    <w:rsid w:val="001E6724"/>
    <w:rsid w:val="001E7488"/>
    <w:rsid w:val="001F2DAB"/>
    <w:rsid w:val="001F2FAE"/>
    <w:rsid w:val="001F3D6B"/>
    <w:rsid w:val="00217179"/>
    <w:rsid w:val="00222ACC"/>
    <w:rsid w:val="00231736"/>
    <w:rsid w:val="00242231"/>
    <w:rsid w:val="00247307"/>
    <w:rsid w:val="00253B20"/>
    <w:rsid w:val="00257C91"/>
    <w:rsid w:val="00260839"/>
    <w:rsid w:val="002614D9"/>
    <w:rsid w:val="00265F4A"/>
    <w:rsid w:val="00272D7A"/>
    <w:rsid w:val="00273DC6"/>
    <w:rsid w:val="00283E63"/>
    <w:rsid w:val="00285A7E"/>
    <w:rsid w:val="00285B61"/>
    <w:rsid w:val="0028772E"/>
    <w:rsid w:val="00287C56"/>
    <w:rsid w:val="00294AFB"/>
    <w:rsid w:val="002969FE"/>
    <w:rsid w:val="00297DDC"/>
    <w:rsid w:val="002A11D6"/>
    <w:rsid w:val="002A14C9"/>
    <w:rsid w:val="002A307C"/>
    <w:rsid w:val="002A5D8F"/>
    <w:rsid w:val="002A738C"/>
    <w:rsid w:val="002B0ABD"/>
    <w:rsid w:val="002B7FF3"/>
    <w:rsid w:val="002D1D5D"/>
    <w:rsid w:val="002D37E7"/>
    <w:rsid w:val="002D6264"/>
    <w:rsid w:val="002D62A4"/>
    <w:rsid w:val="002E2A90"/>
    <w:rsid w:val="002E55D2"/>
    <w:rsid w:val="002E7A76"/>
    <w:rsid w:val="002F5341"/>
    <w:rsid w:val="002F650C"/>
    <w:rsid w:val="00304A21"/>
    <w:rsid w:val="003129AD"/>
    <w:rsid w:val="003164EA"/>
    <w:rsid w:val="00321D0B"/>
    <w:rsid w:val="003224D6"/>
    <w:rsid w:val="00322CC2"/>
    <w:rsid w:val="00326BC1"/>
    <w:rsid w:val="00331B29"/>
    <w:rsid w:val="00340C4D"/>
    <w:rsid w:val="00344F8D"/>
    <w:rsid w:val="00356FCC"/>
    <w:rsid w:val="00371DA2"/>
    <w:rsid w:val="00384486"/>
    <w:rsid w:val="00386641"/>
    <w:rsid w:val="00387098"/>
    <w:rsid w:val="00392B01"/>
    <w:rsid w:val="003A00F8"/>
    <w:rsid w:val="003A22F6"/>
    <w:rsid w:val="003B022B"/>
    <w:rsid w:val="003B192B"/>
    <w:rsid w:val="003C2D12"/>
    <w:rsid w:val="003C4FC1"/>
    <w:rsid w:val="003C64CB"/>
    <w:rsid w:val="003C72C3"/>
    <w:rsid w:val="003D3CE8"/>
    <w:rsid w:val="003E0FB8"/>
    <w:rsid w:val="003E697C"/>
    <w:rsid w:val="003F0972"/>
    <w:rsid w:val="003F29D1"/>
    <w:rsid w:val="003F3E13"/>
    <w:rsid w:val="00403689"/>
    <w:rsid w:val="004054B3"/>
    <w:rsid w:val="0041718F"/>
    <w:rsid w:val="00423DD3"/>
    <w:rsid w:val="004278C6"/>
    <w:rsid w:val="00432742"/>
    <w:rsid w:val="00434EAE"/>
    <w:rsid w:val="004435AC"/>
    <w:rsid w:val="00443B09"/>
    <w:rsid w:val="00451CE4"/>
    <w:rsid w:val="00454296"/>
    <w:rsid w:val="00455CA3"/>
    <w:rsid w:val="00457710"/>
    <w:rsid w:val="00463099"/>
    <w:rsid w:val="00463340"/>
    <w:rsid w:val="0046676F"/>
    <w:rsid w:val="00470F22"/>
    <w:rsid w:val="00482BE7"/>
    <w:rsid w:val="00484EE9"/>
    <w:rsid w:val="0048676E"/>
    <w:rsid w:val="004A6052"/>
    <w:rsid w:val="004A668A"/>
    <w:rsid w:val="004A7475"/>
    <w:rsid w:val="004A748B"/>
    <w:rsid w:val="004B1421"/>
    <w:rsid w:val="004B4C10"/>
    <w:rsid w:val="004C602B"/>
    <w:rsid w:val="004C7934"/>
    <w:rsid w:val="004D45AE"/>
    <w:rsid w:val="004D4A07"/>
    <w:rsid w:val="004E100E"/>
    <w:rsid w:val="004E6870"/>
    <w:rsid w:val="004F5FD9"/>
    <w:rsid w:val="004F62B9"/>
    <w:rsid w:val="00500F55"/>
    <w:rsid w:val="00501487"/>
    <w:rsid w:val="00502C7E"/>
    <w:rsid w:val="00503827"/>
    <w:rsid w:val="00512470"/>
    <w:rsid w:val="005151A0"/>
    <w:rsid w:val="005172EE"/>
    <w:rsid w:val="005201FC"/>
    <w:rsid w:val="0052144A"/>
    <w:rsid w:val="005350ED"/>
    <w:rsid w:val="00537479"/>
    <w:rsid w:val="00542279"/>
    <w:rsid w:val="00542748"/>
    <w:rsid w:val="00545A82"/>
    <w:rsid w:val="00553489"/>
    <w:rsid w:val="00565C4F"/>
    <w:rsid w:val="00567F3D"/>
    <w:rsid w:val="00575340"/>
    <w:rsid w:val="00583AE5"/>
    <w:rsid w:val="00586EC3"/>
    <w:rsid w:val="005912D7"/>
    <w:rsid w:val="00595F88"/>
    <w:rsid w:val="005971E8"/>
    <w:rsid w:val="005A0AEA"/>
    <w:rsid w:val="005A6A23"/>
    <w:rsid w:val="005B0F89"/>
    <w:rsid w:val="005B2A01"/>
    <w:rsid w:val="005B5050"/>
    <w:rsid w:val="005B6CC9"/>
    <w:rsid w:val="005B6F1C"/>
    <w:rsid w:val="005C1B8D"/>
    <w:rsid w:val="005C2F17"/>
    <w:rsid w:val="005C6631"/>
    <w:rsid w:val="005D3C36"/>
    <w:rsid w:val="005D4CA3"/>
    <w:rsid w:val="005D5632"/>
    <w:rsid w:val="005D5F1D"/>
    <w:rsid w:val="005E3A06"/>
    <w:rsid w:val="00607CD7"/>
    <w:rsid w:val="00636B61"/>
    <w:rsid w:val="0063702D"/>
    <w:rsid w:val="00642BB9"/>
    <w:rsid w:val="006433C9"/>
    <w:rsid w:val="00651461"/>
    <w:rsid w:val="006514BA"/>
    <w:rsid w:val="006525DE"/>
    <w:rsid w:val="00660D6A"/>
    <w:rsid w:val="006618DD"/>
    <w:rsid w:val="00666133"/>
    <w:rsid w:val="006670F0"/>
    <w:rsid w:val="00677962"/>
    <w:rsid w:val="006805B4"/>
    <w:rsid w:val="006835B8"/>
    <w:rsid w:val="00683B0C"/>
    <w:rsid w:val="00685747"/>
    <w:rsid w:val="00691BF7"/>
    <w:rsid w:val="0069542B"/>
    <w:rsid w:val="0069560F"/>
    <w:rsid w:val="006A5892"/>
    <w:rsid w:val="006B160F"/>
    <w:rsid w:val="006B7A64"/>
    <w:rsid w:val="006C09AA"/>
    <w:rsid w:val="006C0CDD"/>
    <w:rsid w:val="006C0D3A"/>
    <w:rsid w:val="006C24C2"/>
    <w:rsid w:val="006C5B12"/>
    <w:rsid w:val="006D7A56"/>
    <w:rsid w:val="006D7B36"/>
    <w:rsid w:val="006E009A"/>
    <w:rsid w:val="006F4234"/>
    <w:rsid w:val="006F55F8"/>
    <w:rsid w:val="006F59AF"/>
    <w:rsid w:val="0070077C"/>
    <w:rsid w:val="00701CAD"/>
    <w:rsid w:val="00703E8F"/>
    <w:rsid w:val="007257E3"/>
    <w:rsid w:val="0072608A"/>
    <w:rsid w:val="007267C7"/>
    <w:rsid w:val="0073155D"/>
    <w:rsid w:val="00737BFA"/>
    <w:rsid w:val="00740B91"/>
    <w:rsid w:val="00741FB3"/>
    <w:rsid w:val="00745A3C"/>
    <w:rsid w:val="0074749C"/>
    <w:rsid w:val="007562E0"/>
    <w:rsid w:val="00772DA9"/>
    <w:rsid w:val="007734D0"/>
    <w:rsid w:val="00776F4D"/>
    <w:rsid w:val="00780987"/>
    <w:rsid w:val="00791C99"/>
    <w:rsid w:val="00792AE3"/>
    <w:rsid w:val="007A586B"/>
    <w:rsid w:val="007B2C1D"/>
    <w:rsid w:val="007B4B20"/>
    <w:rsid w:val="007C1C91"/>
    <w:rsid w:val="007C63ED"/>
    <w:rsid w:val="007D1889"/>
    <w:rsid w:val="007E0252"/>
    <w:rsid w:val="007E1250"/>
    <w:rsid w:val="007E2C51"/>
    <w:rsid w:val="007E44E4"/>
    <w:rsid w:val="007E523E"/>
    <w:rsid w:val="007E617D"/>
    <w:rsid w:val="007E7673"/>
    <w:rsid w:val="007F7A3E"/>
    <w:rsid w:val="0080298F"/>
    <w:rsid w:val="00802DC2"/>
    <w:rsid w:val="008067EF"/>
    <w:rsid w:val="0080733A"/>
    <w:rsid w:val="00810F27"/>
    <w:rsid w:val="00820B03"/>
    <w:rsid w:val="00820C2F"/>
    <w:rsid w:val="0082193C"/>
    <w:rsid w:val="00822E5E"/>
    <w:rsid w:val="008235A3"/>
    <w:rsid w:val="00837246"/>
    <w:rsid w:val="00837EF1"/>
    <w:rsid w:val="00840722"/>
    <w:rsid w:val="00841A5A"/>
    <w:rsid w:val="00841E97"/>
    <w:rsid w:val="008429A0"/>
    <w:rsid w:val="00846634"/>
    <w:rsid w:val="00850E5A"/>
    <w:rsid w:val="0085442F"/>
    <w:rsid w:val="00860A79"/>
    <w:rsid w:val="00860AEA"/>
    <w:rsid w:val="0086335F"/>
    <w:rsid w:val="00866790"/>
    <w:rsid w:val="008704AC"/>
    <w:rsid w:val="008710C0"/>
    <w:rsid w:val="0087640D"/>
    <w:rsid w:val="008874F5"/>
    <w:rsid w:val="008A0AE4"/>
    <w:rsid w:val="008A2142"/>
    <w:rsid w:val="008A5B5D"/>
    <w:rsid w:val="008B0F6D"/>
    <w:rsid w:val="008B345C"/>
    <w:rsid w:val="008C624A"/>
    <w:rsid w:val="008D04B4"/>
    <w:rsid w:val="008D5B4D"/>
    <w:rsid w:val="008D5D77"/>
    <w:rsid w:val="008D7333"/>
    <w:rsid w:val="008E1E83"/>
    <w:rsid w:val="008E5353"/>
    <w:rsid w:val="008F68D8"/>
    <w:rsid w:val="00907CE4"/>
    <w:rsid w:val="00911C02"/>
    <w:rsid w:val="00915F78"/>
    <w:rsid w:val="009160F6"/>
    <w:rsid w:val="009230A6"/>
    <w:rsid w:val="00940A81"/>
    <w:rsid w:val="0094170F"/>
    <w:rsid w:val="00943767"/>
    <w:rsid w:val="0095078C"/>
    <w:rsid w:val="00952E83"/>
    <w:rsid w:val="009545CE"/>
    <w:rsid w:val="009577F4"/>
    <w:rsid w:val="00957D63"/>
    <w:rsid w:val="009609F0"/>
    <w:rsid w:val="00961E27"/>
    <w:rsid w:val="009649BB"/>
    <w:rsid w:val="00974DFC"/>
    <w:rsid w:val="0097732C"/>
    <w:rsid w:val="009814F7"/>
    <w:rsid w:val="00986F2C"/>
    <w:rsid w:val="00990E11"/>
    <w:rsid w:val="00995041"/>
    <w:rsid w:val="00997A8F"/>
    <w:rsid w:val="009A1B1E"/>
    <w:rsid w:val="009A2EBC"/>
    <w:rsid w:val="009A602A"/>
    <w:rsid w:val="009A736C"/>
    <w:rsid w:val="009B2475"/>
    <w:rsid w:val="009B4BDC"/>
    <w:rsid w:val="009B6A18"/>
    <w:rsid w:val="009C23DE"/>
    <w:rsid w:val="009C3D9F"/>
    <w:rsid w:val="009C49C9"/>
    <w:rsid w:val="009C7466"/>
    <w:rsid w:val="009D19DA"/>
    <w:rsid w:val="009E44F1"/>
    <w:rsid w:val="009F0E93"/>
    <w:rsid w:val="009F2927"/>
    <w:rsid w:val="009F3A24"/>
    <w:rsid w:val="00A00822"/>
    <w:rsid w:val="00A01091"/>
    <w:rsid w:val="00A013F1"/>
    <w:rsid w:val="00A02D45"/>
    <w:rsid w:val="00A02FC9"/>
    <w:rsid w:val="00A07769"/>
    <w:rsid w:val="00A103E5"/>
    <w:rsid w:val="00A158B4"/>
    <w:rsid w:val="00A27B81"/>
    <w:rsid w:val="00A3130A"/>
    <w:rsid w:val="00A32049"/>
    <w:rsid w:val="00A36181"/>
    <w:rsid w:val="00A4020B"/>
    <w:rsid w:val="00A634AD"/>
    <w:rsid w:val="00A651E8"/>
    <w:rsid w:val="00A65F87"/>
    <w:rsid w:val="00A66ECF"/>
    <w:rsid w:val="00A70541"/>
    <w:rsid w:val="00A71A55"/>
    <w:rsid w:val="00A71F51"/>
    <w:rsid w:val="00A722C7"/>
    <w:rsid w:val="00A859E9"/>
    <w:rsid w:val="00A8624A"/>
    <w:rsid w:val="00A913AA"/>
    <w:rsid w:val="00A9214B"/>
    <w:rsid w:val="00A975C9"/>
    <w:rsid w:val="00AA13A2"/>
    <w:rsid w:val="00AA2F91"/>
    <w:rsid w:val="00AA44FB"/>
    <w:rsid w:val="00AA5C48"/>
    <w:rsid w:val="00AB7628"/>
    <w:rsid w:val="00AC0FBD"/>
    <w:rsid w:val="00AC21CB"/>
    <w:rsid w:val="00AD1233"/>
    <w:rsid w:val="00AD5225"/>
    <w:rsid w:val="00AD76BC"/>
    <w:rsid w:val="00AD76E5"/>
    <w:rsid w:val="00AE13F6"/>
    <w:rsid w:val="00AE1EB9"/>
    <w:rsid w:val="00AE74A0"/>
    <w:rsid w:val="00AF2742"/>
    <w:rsid w:val="00B05A62"/>
    <w:rsid w:val="00B05DFD"/>
    <w:rsid w:val="00B06950"/>
    <w:rsid w:val="00B16BEC"/>
    <w:rsid w:val="00B178AF"/>
    <w:rsid w:val="00B23A02"/>
    <w:rsid w:val="00B23D8C"/>
    <w:rsid w:val="00B32547"/>
    <w:rsid w:val="00B329C1"/>
    <w:rsid w:val="00B44E17"/>
    <w:rsid w:val="00B45374"/>
    <w:rsid w:val="00B4620F"/>
    <w:rsid w:val="00B47FAC"/>
    <w:rsid w:val="00B52CF9"/>
    <w:rsid w:val="00B56BE4"/>
    <w:rsid w:val="00B56DC3"/>
    <w:rsid w:val="00B61D66"/>
    <w:rsid w:val="00B62D66"/>
    <w:rsid w:val="00B650F3"/>
    <w:rsid w:val="00B71163"/>
    <w:rsid w:val="00B72988"/>
    <w:rsid w:val="00B72C7F"/>
    <w:rsid w:val="00B84A2D"/>
    <w:rsid w:val="00B91F3F"/>
    <w:rsid w:val="00B920A4"/>
    <w:rsid w:val="00B9549F"/>
    <w:rsid w:val="00B959D3"/>
    <w:rsid w:val="00B96939"/>
    <w:rsid w:val="00BA5099"/>
    <w:rsid w:val="00BA7E21"/>
    <w:rsid w:val="00BB2E00"/>
    <w:rsid w:val="00BB37A6"/>
    <w:rsid w:val="00BB5336"/>
    <w:rsid w:val="00BB677D"/>
    <w:rsid w:val="00BC3962"/>
    <w:rsid w:val="00BD327B"/>
    <w:rsid w:val="00BE356C"/>
    <w:rsid w:val="00BE412E"/>
    <w:rsid w:val="00BF100D"/>
    <w:rsid w:val="00BF46FB"/>
    <w:rsid w:val="00BF5874"/>
    <w:rsid w:val="00BF695B"/>
    <w:rsid w:val="00C12404"/>
    <w:rsid w:val="00C12CEE"/>
    <w:rsid w:val="00C13916"/>
    <w:rsid w:val="00C13FD3"/>
    <w:rsid w:val="00C1581C"/>
    <w:rsid w:val="00C20B90"/>
    <w:rsid w:val="00C240E6"/>
    <w:rsid w:val="00C27E55"/>
    <w:rsid w:val="00C30109"/>
    <w:rsid w:val="00C41CF5"/>
    <w:rsid w:val="00C46D23"/>
    <w:rsid w:val="00C46DC1"/>
    <w:rsid w:val="00C50215"/>
    <w:rsid w:val="00C70E43"/>
    <w:rsid w:val="00C7275D"/>
    <w:rsid w:val="00C733E7"/>
    <w:rsid w:val="00C857C9"/>
    <w:rsid w:val="00C91164"/>
    <w:rsid w:val="00C9182D"/>
    <w:rsid w:val="00C9539F"/>
    <w:rsid w:val="00CA02FE"/>
    <w:rsid w:val="00CA1942"/>
    <w:rsid w:val="00CC0D0B"/>
    <w:rsid w:val="00CC2FC2"/>
    <w:rsid w:val="00CC65EB"/>
    <w:rsid w:val="00CD25C1"/>
    <w:rsid w:val="00CD2923"/>
    <w:rsid w:val="00CD6012"/>
    <w:rsid w:val="00CD7103"/>
    <w:rsid w:val="00CD7374"/>
    <w:rsid w:val="00CD7631"/>
    <w:rsid w:val="00CF2B54"/>
    <w:rsid w:val="00CF756C"/>
    <w:rsid w:val="00D0131B"/>
    <w:rsid w:val="00D0159B"/>
    <w:rsid w:val="00D02B35"/>
    <w:rsid w:val="00D1170D"/>
    <w:rsid w:val="00D11F3E"/>
    <w:rsid w:val="00D14B98"/>
    <w:rsid w:val="00D227C2"/>
    <w:rsid w:val="00D27A0B"/>
    <w:rsid w:val="00D33EEA"/>
    <w:rsid w:val="00D35F3A"/>
    <w:rsid w:val="00D4021C"/>
    <w:rsid w:val="00D4155F"/>
    <w:rsid w:val="00D42D9D"/>
    <w:rsid w:val="00D516F7"/>
    <w:rsid w:val="00D52EDD"/>
    <w:rsid w:val="00D622BA"/>
    <w:rsid w:val="00D64B37"/>
    <w:rsid w:val="00D66B72"/>
    <w:rsid w:val="00D66D37"/>
    <w:rsid w:val="00D72D2D"/>
    <w:rsid w:val="00D81F78"/>
    <w:rsid w:val="00D820C4"/>
    <w:rsid w:val="00D82A77"/>
    <w:rsid w:val="00D84070"/>
    <w:rsid w:val="00D901CC"/>
    <w:rsid w:val="00D902D6"/>
    <w:rsid w:val="00D9221C"/>
    <w:rsid w:val="00D93696"/>
    <w:rsid w:val="00D94593"/>
    <w:rsid w:val="00DA1FCA"/>
    <w:rsid w:val="00DB04E8"/>
    <w:rsid w:val="00DB6EBF"/>
    <w:rsid w:val="00DC02EF"/>
    <w:rsid w:val="00DC05F7"/>
    <w:rsid w:val="00DC1058"/>
    <w:rsid w:val="00DD05A9"/>
    <w:rsid w:val="00DD4FA2"/>
    <w:rsid w:val="00DE0863"/>
    <w:rsid w:val="00DE6837"/>
    <w:rsid w:val="00DE7AB2"/>
    <w:rsid w:val="00DF0FE5"/>
    <w:rsid w:val="00DF4F36"/>
    <w:rsid w:val="00DF60D9"/>
    <w:rsid w:val="00E020C2"/>
    <w:rsid w:val="00E04D4F"/>
    <w:rsid w:val="00E077A8"/>
    <w:rsid w:val="00E14574"/>
    <w:rsid w:val="00E14A51"/>
    <w:rsid w:val="00E14A65"/>
    <w:rsid w:val="00E209EF"/>
    <w:rsid w:val="00E279D9"/>
    <w:rsid w:val="00E31B68"/>
    <w:rsid w:val="00E40350"/>
    <w:rsid w:val="00E420EE"/>
    <w:rsid w:val="00E42172"/>
    <w:rsid w:val="00E428BE"/>
    <w:rsid w:val="00E431C8"/>
    <w:rsid w:val="00E50539"/>
    <w:rsid w:val="00E56278"/>
    <w:rsid w:val="00E56E57"/>
    <w:rsid w:val="00E57798"/>
    <w:rsid w:val="00E57DB0"/>
    <w:rsid w:val="00E57DEF"/>
    <w:rsid w:val="00E57ECA"/>
    <w:rsid w:val="00E73710"/>
    <w:rsid w:val="00E773DF"/>
    <w:rsid w:val="00E81CB3"/>
    <w:rsid w:val="00E838BF"/>
    <w:rsid w:val="00E85C0D"/>
    <w:rsid w:val="00E86D62"/>
    <w:rsid w:val="00E87F40"/>
    <w:rsid w:val="00E91F8B"/>
    <w:rsid w:val="00E942A7"/>
    <w:rsid w:val="00EA12BB"/>
    <w:rsid w:val="00EA23ED"/>
    <w:rsid w:val="00EA25CB"/>
    <w:rsid w:val="00EA33CD"/>
    <w:rsid w:val="00EB42FB"/>
    <w:rsid w:val="00EB6713"/>
    <w:rsid w:val="00EB721F"/>
    <w:rsid w:val="00EB722F"/>
    <w:rsid w:val="00EC0C31"/>
    <w:rsid w:val="00EC6936"/>
    <w:rsid w:val="00ED0B5D"/>
    <w:rsid w:val="00ED58FF"/>
    <w:rsid w:val="00ED7E6B"/>
    <w:rsid w:val="00EE6ACD"/>
    <w:rsid w:val="00EF1371"/>
    <w:rsid w:val="00EF3F3D"/>
    <w:rsid w:val="00EF4BD2"/>
    <w:rsid w:val="00F03566"/>
    <w:rsid w:val="00F050B7"/>
    <w:rsid w:val="00F16143"/>
    <w:rsid w:val="00F16CA2"/>
    <w:rsid w:val="00F222E7"/>
    <w:rsid w:val="00F23340"/>
    <w:rsid w:val="00F23B9A"/>
    <w:rsid w:val="00F4147C"/>
    <w:rsid w:val="00F42726"/>
    <w:rsid w:val="00F437DF"/>
    <w:rsid w:val="00F43A65"/>
    <w:rsid w:val="00F4574A"/>
    <w:rsid w:val="00F53056"/>
    <w:rsid w:val="00F61476"/>
    <w:rsid w:val="00F63FF8"/>
    <w:rsid w:val="00F67FBD"/>
    <w:rsid w:val="00F70A50"/>
    <w:rsid w:val="00F76910"/>
    <w:rsid w:val="00F80F8D"/>
    <w:rsid w:val="00F823EF"/>
    <w:rsid w:val="00F847B1"/>
    <w:rsid w:val="00F86628"/>
    <w:rsid w:val="00F907A0"/>
    <w:rsid w:val="00F91267"/>
    <w:rsid w:val="00F94C07"/>
    <w:rsid w:val="00F95803"/>
    <w:rsid w:val="00F97C13"/>
    <w:rsid w:val="00FA152A"/>
    <w:rsid w:val="00FA3D15"/>
    <w:rsid w:val="00FB394A"/>
    <w:rsid w:val="00FB43A9"/>
    <w:rsid w:val="00FB4FE0"/>
    <w:rsid w:val="00FB6D9E"/>
    <w:rsid w:val="00FC12F3"/>
    <w:rsid w:val="00FC17C8"/>
    <w:rsid w:val="00FC2D24"/>
    <w:rsid w:val="00FC3D32"/>
    <w:rsid w:val="00FC3F29"/>
    <w:rsid w:val="00FC5DCA"/>
    <w:rsid w:val="00FD0E93"/>
    <w:rsid w:val="00FD30CF"/>
    <w:rsid w:val="00FD3288"/>
    <w:rsid w:val="00FD7983"/>
    <w:rsid w:val="00FF03DF"/>
    <w:rsid w:val="00FF2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E7F7"/>
  <w15:chartTrackingRefBased/>
  <w15:docId w15:val="{543C24FC-E5DB-4086-88C8-2FCDD325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7A8F"/>
  </w:style>
  <w:style w:type="paragraph" w:styleId="berschrift1">
    <w:name w:val="heading 1"/>
    <w:basedOn w:val="Standard"/>
    <w:next w:val="Standard"/>
    <w:link w:val="berschrift1Zchn"/>
    <w:uiPriority w:val="9"/>
    <w:qFormat/>
    <w:rsid w:val="00837EF1"/>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C23DE"/>
    <w:pPr>
      <w:keepNext/>
      <w:keepLines/>
      <w:numPr>
        <w:ilvl w:val="1"/>
        <w:numId w:val="19"/>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C23DE"/>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37EF1"/>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837EF1"/>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837EF1"/>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837EF1"/>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837E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37E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2475"/>
    <w:pPr>
      <w:ind w:left="720"/>
      <w:contextualSpacing/>
    </w:pPr>
  </w:style>
  <w:style w:type="character" w:styleId="Kommentarzeichen">
    <w:name w:val="annotation reference"/>
    <w:basedOn w:val="Absatz-Standardschriftart"/>
    <w:uiPriority w:val="99"/>
    <w:semiHidden/>
    <w:unhideWhenUsed/>
    <w:rsid w:val="00703E8F"/>
    <w:rPr>
      <w:sz w:val="16"/>
      <w:szCs w:val="16"/>
    </w:rPr>
  </w:style>
  <w:style w:type="paragraph" w:customStyle="1" w:styleId="Default">
    <w:name w:val="Default"/>
    <w:rsid w:val="00703E8F"/>
    <w:pPr>
      <w:autoSpaceDE w:val="0"/>
      <w:autoSpaceDN w:val="0"/>
      <w:adjustRightInd w:val="0"/>
      <w:spacing w:after="0" w:line="240" w:lineRule="auto"/>
    </w:pPr>
    <w:rPr>
      <w:rFonts w:ascii="Cambria" w:hAnsi="Cambria" w:cs="Cambria"/>
      <w:color w:val="000000"/>
      <w:sz w:val="24"/>
      <w:szCs w:val="24"/>
      <w:lang w:val="en-GB"/>
    </w:rPr>
  </w:style>
  <w:style w:type="paragraph" w:styleId="Kommentartext">
    <w:name w:val="annotation text"/>
    <w:basedOn w:val="Standard"/>
    <w:link w:val="KommentartextZchn"/>
    <w:uiPriority w:val="99"/>
    <w:unhideWhenUsed/>
    <w:rsid w:val="00B05DFD"/>
    <w:pPr>
      <w:spacing w:line="240" w:lineRule="auto"/>
    </w:pPr>
    <w:rPr>
      <w:sz w:val="20"/>
      <w:szCs w:val="20"/>
    </w:rPr>
  </w:style>
  <w:style w:type="character" w:customStyle="1" w:styleId="KommentartextZchn">
    <w:name w:val="Kommentartext Zchn"/>
    <w:basedOn w:val="Absatz-Standardschriftart"/>
    <w:link w:val="Kommentartext"/>
    <w:uiPriority w:val="99"/>
    <w:rsid w:val="00B05DFD"/>
    <w:rPr>
      <w:sz w:val="20"/>
      <w:szCs w:val="20"/>
    </w:rPr>
  </w:style>
  <w:style w:type="paragraph" w:styleId="Kommentarthema">
    <w:name w:val="annotation subject"/>
    <w:basedOn w:val="Kommentartext"/>
    <w:next w:val="Kommentartext"/>
    <w:link w:val="KommentarthemaZchn"/>
    <w:uiPriority w:val="99"/>
    <w:semiHidden/>
    <w:unhideWhenUsed/>
    <w:rsid w:val="00B05DFD"/>
    <w:rPr>
      <w:b/>
      <w:bCs/>
    </w:rPr>
  </w:style>
  <w:style w:type="character" w:customStyle="1" w:styleId="KommentarthemaZchn">
    <w:name w:val="Kommentarthema Zchn"/>
    <w:basedOn w:val="KommentartextZchn"/>
    <w:link w:val="Kommentarthema"/>
    <w:uiPriority w:val="99"/>
    <w:semiHidden/>
    <w:rsid w:val="00B05DFD"/>
    <w:rPr>
      <w:b/>
      <w:bCs/>
      <w:sz w:val="20"/>
      <w:szCs w:val="20"/>
    </w:rPr>
  </w:style>
  <w:style w:type="paragraph" w:styleId="Sprechblasentext">
    <w:name w:val="Balloon Text"/>
    <w:basedOn w:val="Standard"/>
    <w:link w:val="SprechblasentextZchn"/>
    <w:uiPriority w:val="99"/>
    <w:semiHidden/>
    <w:unhideWhenUsed/>
    <w:rsid w:val="00B05D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DFD"/>
    <w:rPr>
      <w:rFonts w:ascii="Segoe UI" w:hAnsi="Segoe UI" w:cs="Segoe UI"/>
      <w:sz w:val="18"/>
      <w:szCs w:val="18"/>
    </w:rPr>
  </w:style>
  <w:style w:type="table" w:styleId="Tabellenraster">
    <w:name w:val="Table Grid"/>
    <w:basedOn w:val="NormaleTabelle"/>
    <w:uiPriority w:val="39"/>
    <w:rsid w:val="00F2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294AFB"/>
    <w:pPr>
      <w:spacing w:after="200" w:line="240" w:lineRule="auto"/>
    </w:pPr>
    <w:rPr>
      <w:i/>
      <w:iCs/>
      <w:color w:val="44546A" w:themeColor="text2"/>
      <w:sz w:val="18"/>
      <w:szCs w:val="18"/>
    </w:rPr>
  </w:style>
  <w:style w:type="paragraph" w:styleId="KeinLeerraum">
    <w:name w:val="No Spacing"/>
    <w:uiPriority w:val="1"/>
    <w:qFormat/>
    <w:rsid w:val="00322CC2"/>
    <w:pPr>
      <w:spacing w:after="0" w:line="240" w:lineRule="auto"/>
    </w:pPr>
  </w:style>
  <w:style w:type="character" w:styleId="Hyperlink">
    <w:name w:val="Hyperlink"/>
    <w:basedOn w:val="Absatz-Standardschriftart"/>
    <w:uiPriority w:val="99"/>
    <w:semiHidden/>
    <w:unhideWhenUsed/>
    <w:rsid w:val="000912C3"/>
    <w:rPr>
      <w:color w:val="0000FF"/>
      <w:u w:val="single"/>
    </w:rPr>
  </w:style>
  <w:style w:type="character" w:customStyle="1" w:styleId="berschrift2Zchn">
    <w:name w:val="Überschrift 2 Zchn"/>
    <w:basedOn w:val="Absatz-Standardschriftart"/>
    <w:link w:val="berschrift2"/>
    <w:uiPriority w:val="9"/>
    <w:rsid w:val="009C23DE"/>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9C23DE"/>
    <w:rPr>
      <w:rFonts w:asciiTheme="majorHAnsi" w:eastAsiaTheme="majorEastAsia" w:hAnsiTheme="majorHAnsi" w:cstheme="majorBidi"/>
      <w:color w:val="1F4D78" w:themeColor="accent1" w:themeShade="7F"/>
      <w:sz w:val="24"/>
      <w:szCs w:val="24"/>
    </w:rPr>
  </w:style>
  <w:style w:type="paragraph" w:customStyle="1" w:styleId="IDberschrift1">
    <w:name w:val="ID Überschrift 1"/>
    <w:basedOn w:val="berschrift2"/>
    <w:link w:val="IDberschrift1Zchn"/>
    <w:qFormat/>
    <w:rsid w:val="00685747"/>
    <w:pPr>
      <w:numPr>
        <w:ilvl w:val="0"/>
        <w:numId w:val="15"/>
      </w:numPr>
    </w:pPr>
  </w:style>
  <w:style w:type="character" w:customStyle="1" w:styleId="berschrift1Zchn">
    <w:name w:val="Überschrift 1 Zchn"/>
    <w:basedOn w:val="Absatz-Standardschriftart"/>
    <w:link w:val="berschrift1"/>
    <w:uiPriority w:val="9"/>
    <w:rsid w:val="00837EF1"/>
    <w:rPr>
      <w:rFonts w:asciiTheme="majorHAnsi" w:eastAsiaTheme="majorEastAsia" w:hAnsiTheme="majorHAnsi" w:cstheme="majorBidi"/>
      <w:color w:val="2E74B5" w:themeColor="accent1" w:themeShade="BF"/>
      <w:sz w:val="32"/>
      <w:szCs w:val="32"/>
    </w:rPr>
  </w:style>
  <w:style w:type="character" w:customStyle="1" w:styleId="IDberschrift1Zchn">
    <w:name w:val="ID Überschrift 1 Zchn"/>
    <w:basedOn w:val="berschrift2Zchn"/>
    <w:link w:val="IDberschrift1"/>
    <w:rsid w:val="00685747"/>
    <w:rPr>
      <w:rFonts w:asciiTheme="majorHAnsi" w:eastAsiaTheme="majorEastAsia" w:hAnsiTheme="majorHAnsi" w:cstheme="majorBidi"/>
      <w:color w:val="2E74B5" w:themeColor="accent1" w:themeShade="BF"/>
      <w:sz w:val="26"/>
      <w:szCs w:val="26"/>
    </w:rPr>
  </w:style>
  <w:style w:type="character" w:customStyle="1" w:styleId="berschrift4Zchn">
    <w:name w:val="Überschrift 4 Zchn"/>
    <w:basedOn w:val="Absatz-Standardschriftart"/>
    <w:link w:val="berschrift4"/>
    <w:uiPriority w:val="9"/>
    <w:semiHidden/>
    <w:rsid w:val="00837EF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37EF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37EF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37EF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37EF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37EF1"/>
    <w:rPr>
      <w:rFonts w:asciiTheme="majorHAnsi" w:eastAsiaTheme="majorEastAsia" w:hAnsiTheme="majorHAnsi" w:cstheme="majorBidi"/>
      <w:i/>
      <w:iCs/>
      <w:color w:val="272727" w:themeColor="text1" w:themeTint="D8"/>
      <w:sz w:val="21"/>
      <w:szCs w:val="21"/>
    </w:rPr>
  </w:style>
  <w:style w:type="paragraph" w:styleId="Kopfzeile">
    <w:name w:val="header"/>
    <w:basedOn w:val="Standard"/>
    <w:link w:val="KopfzeileZchn"/>
    <w:uiPriority w:val="99"/>
    <w:unhideWhenUsed/>
    <w:rsid w:val="00D936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3696"/>
  </w:style>
  <w:style w:type="paragraph" w:styleId="Fuzeile">
    <w:name w:val="footer"/>
    <w:basedOn w:val="Standard"/>
    <w:link w:val="FuzeileZchn"/>
    <w:uiPriority w:val="99"/>
    <w:unhideWhenUsed/>
    <w:rsid w:val="00D936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3696"/>
  </w:style>
  <w:style w:type="paragraph" w:styleId="Titel">
    <w:name w:val="Title"/>
    <w:basedOn w:val="Standard"/>
    <w:next w:val="Standard"/>
    <w:link w:val="TitelZchn"/>
    <w:uiPriority w:val="10"/>
    <w:qFormat/>
    <w:rsid w:val="00D936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93696"/>
    <w:rPr>
      <w:rFonts w:asciiTheme="majorHAnsi" w:eastAsiaTheme="majorEastAsia" w:hAnsiTheme="majorHAnsi" w:cstheme="majorBidi"/>
      <w:spacing w:val="-10"/>
      <w:kern w:val="28"/>
      <w:sz w:val="56"/>
      <w:szCs w:val="56"/>
    </w:rPr>
  </w:style>
  <w:style w:type="paragraph" w:customStyle="1" w:styleId="Standard8pt">
    <w:name w:val="Standard 8pt"/>
    <w:basedOn w:val="Standard"/>
    <w:qFormat/>
    <w:rsid w:val="00DF4F36"/>
    <w:pPr>
      <w:spacing w:after="0" w:line="288" w:lineRule="auto"/>
      <w:jc w:val="both"/>
    </w:pPr>
    <w:rPr>
      <w:rFonts w:ascii="Arial" w:eastAsia="Times New Roman" w:hAnsi="Arial" w:cs="Times New Roman"/>
      <w:color w:val="404040" w:themeColor="text1" w:themeTint="BF"/>
      <w:sz w:val="16"/>
      <w:szCs w:val="20"/>
      <w:lang w:val="en-US" w:eastAsia="de-DE"/>
    </w:rPr>
  </w:style>
  <w:style w:type="character" w:styleId="Hervorhebung">
    <w:name w:val="Emphasis"/>
    <w:basedOn w:val="Absatz-Standardschriftart"/>
    <w:uiPriority w:val="20"/>
    <w:qFormat/>
    <w:rsid w:val="00DF4F36"/>
    <w:rPr>
      <w:i/>
      <w:iCs/>
    </w:rPr>
  </w:style>
  <w:style w:type="character" w:customStyle="1" w:styleId="super">
    <w:name w:val="super"/>
    <w:basedOn w:val="Absatz-Standardschriftart"/>
    <w:rsid w:val="00A975C9"/>
  </w:style>
  <w:style w:type="paragraph" w:customStyle="1" w:styleId="Standard1">
    <w:name w:val="Standard1"/>
    <w:basedOn w:val="Standard"/>
    <w:rsid w:val="001B45B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223">
      <w:bodyDiv w:val="1"/>
      <w:marLeft w:val="0"/>
      <w:marRight w:val="0"/>
      <w:marTop w:val="0"/>
      <w:marBottom w:val="0"/>
      <w:divBdr>
        <w:top w:val="none" w:sz="0" w:space="0" w:color="auto"/>
        <w:left w:val="none" w:sz="0" w:space="0" w:color="auto"/>
        <w:bottom w:val="none" w:sz="0" w:space="0" w:color="auto"/>
        <w:right w:val="none" w:sz="0" w:space="0" w:color="auto"/>
      </w:divBdr>
    </w:div>
    <w:div w:id="165216793">
      <w:bodyDiv w:val="1"/>
      <w:marLeft w:val="0"/>
      <w:marRight w:val="0"/>
      <w:marTop w:val="0"/>
      <w:marBottom w:val="0"/>
      <w:divBdr>
        <w:top w:val="none" w:sz="0" w:space="0" w:color="auto"/>
        <w:left w:val="none" w:sz="0" w:space="0" w:color="auto"/>
        <w:bottom w:val="none" w:sz="0" w:space="0" w:color="auto"/>
        <w:right w:val="none" w:sz="0" w:space="0" w:color="auto"/>
      </w:divBdr>
    </w:div>
    <w:div w:id="165675902">
      <w:bodyDiv w:val="1"/>
      <w:marLeft w:val="0"/>
      <w:marRight w:val="0"/>
      <w:marTop w:val="0"/>
      <w:marBottom w:val="0"/>
      <w:divBdr>
        <w:top w:val="none" w:sz="0" w:space="0" w:color="auto"/>
        <w:left w:val="none" w:sz="0" w:space="0" w:color="auto"/>
        <w:bottom w:val="none" w:sz="0" w:space="0" w:color="auto"/>
        <w:right w:val="none" w:sz="0" w:space="0" w:color="auto"/>
      </w:divBdr>
    </w:div>
    <w:div w:id="220292131">
      <w:bodyDiv w:val="1"/>
      <w:marLeft w:val="0"/>
      <w:marRight w:val="0"/>
      <w:marTop w:val="0"/>
      <w:marBottom w:val="0"/>
      <w:divBdr>
        <w:top w:val="none" w:sz="0" w:space="0" w:color="auto"/>
        <w:left w:val="none" w:sz="0" w:space="0" w:color="auto"/>
        <w:bottom w:val="none" w:sz="0" w:space="0" w:color="auto"/>
        <w:right w:val="none" w:sz="0" w:space="0" w:color="auto"/>
      </w:divBdr>
    </w:div>
    <w:div w:id="237329976">
      <w:bodyDiv w:val="1"/>
      <w:marLeft w:val="0"/>
      <w:marRight w:val="0"/>
      <w:marTop w:val="0"/>
      <w:marBottom w:val="0"/>
      <w:divBdr>
        <w:top w:val="none" w:sz="0" w:space="0" w:color="auto"/>
        <w:left w:val="none" w:sz="0" w:space="0" w:color="auto"/>
        <w:bottom w:val="none" w:sz="0" w:space="0" w:color="auto"/>
        <w:right w:val="none" w:sz="0" w:space="0" w:color="auto"/>
      </w:divBdr>
    </w:div>
    <w:div w:id="534317366">
      <w:bodyDiv w:val="1"/>
      <w:marLeft w:val="0"/>
      <w:marRight w:val="0"/>
      <w:marTop w:val="0"/>
      <w:marBottom w:val="0"/>
      <w:divBdr>
        <w:top w:val="none" w:sz="0" w:space="0" w:color="auto"/>
        <w:left w:val="none" w:sz="0" w:space="0" w:color="auto"/>
        <w:bottom w:val="none" w:sz="0" w:space="0" w:color="auto"/>
        <w:right w:val="none" w:sz="0" w:space="0" w:color="auto"/>
      </w:divBdr>
    </w:div>
    <w:div w:id="546841353">
      <w:bodyDiv w:val="1"/>
      <w:marLeft w:val="0"/>
      <w:marRight w:val="0"/>
      <w:marTop w:val="0"/>
      <w:marBottom w:val="0"/>
      <w:divBdr>
        <w:top w:val="none" w:sz="0" w:space="0" w:color="auto"/>
        <w:left w:val="none" w:sz="0" w:space="0" w:color="auto"/>
        <w:bottom w:val="none" w:sz="0" w:space="0" w:color="auto"/>
        <w:right w:val="none" w:sz="0" w:space="0" w:color="auto"/>
      </w:divBdr>
    </w:div>
    <w:div w:id="557395929">
      <w:bodyDiv w:val="1"/>
      <w:marLeft w:val="0"/>
      <w:marRight w:val="0"/>
      <w:marTop w:val="0"/>
      <w:marBottom w:val="0"/>
      <w:divBdr>
        <w:top w:val="none" w:sz="0" w:space="0" w:color="auto"/>
        <w:left w:val="none" w:sz="0" w:space="0" w:color="auto"/>
        <w:bottom w:val="none" w:sz="0" w:space="0" w:color="auto"/>
        <w:right w:val="none" w:sz="0" w:space="0" w:color="auto"/>
      </w:divBdr>
    </w:div>
    <w:div w:id="709569644">
      <w:bodyDiv w:val="1"/>
      <w:marLeft w:val="0"/>
      <w:marRight w:val="0"/>
      <w:marTop w:val="0"/>
      <w:marBottom w:val="0"/>
      <w:divBdr>
        <w:top w:val="none" w:sz="0" w:space="0" w:color="auto"/>
        <w:left w:val="none" w:sz="0" w:space="0" w:color="auto"/>
        <w:bottom w:val="none" w:sz="0" w:space="0" w:color="auto"/>
        <w:right w:val="none" w:sz="0" w:space="0" w:color="auto"/>
      </w:divBdr>
    </w:div>
    <w:div w:id="720052830">
      <w:bodyDiv w:val="1"/>
      <w:marLeft w:val="0"/>
      <w:marRight w:val="0"/>
      <w:marTop w:val="0"/>
      <w:marBottom w:val="0"/>
      <w:divBdr>
        <w:top w:val="none" w:sz="0" w:space="0" w:color="auto"/>
        <w:left w:val="none" w:sz="0" w:space="0" w:color="auto"/>
        <w:bottom w:val="none" w:sz="0" w:space="0" w:color="auto"/>
        <w:right w:val="none" w:sz="0" w:space="0" w:color="auto"/>
      </w:divBdr>
    </w:div>
    <w:div w:id="741366032">
      <w:bodyDiv w:val="1"/>
      <w:marLeft w:val="0"/>
      <w:marRight w:val="0"/>
      <w:marTop w:val="0"/>
      <w:marBottom w:val="0"/>
      <w:divBdr>
        <w:top w:val="none" w:sz="0" w:space="0" w:color="auto"/>
        <w:left w:val="none" w:sz="0" w:space="0" w:color="auto"/>
        <w:bottom w:val="none" w:sz="0" w:space="0" w:color="auto"/>
        <w:right w:val="none" w:sz="0" w:space="0" w:color="auto"/>
      </w:divBdr>
    </w:div>
    <w:div w:id="750274035">
      <w:bodyDiv w:val="1"/>
      <w:marLeft w:val="0"/>
      <w:marRight w:val="0"/>
      <w:marTop w:val="0"/>
      <w:marBottom w:val="0"/>
      <w:divBdr>
        <w:top w:val="none" w:sz="0" w:space="0" w:color="auto"/>
        <w:left w:val="none" w:sz="0" w:space="0" w:color="auto"/>
        <w:bottom w:val="none" w:sz="0" w:space="0" w:color="auto"/>
        <w:right w:val="none" w:sz="0" w:space="0" w:color="auto"/>
      </w:divBdr>
    </w:div>
    <w:div w:id="777991206">
      <w:bodyDiv w:val="1"/>
      <w:marLeft w:val="0"/>
      <w:marRight w:val="0"/>
      <w:marTop w:val="0"/>
      <w:marBottom w:val="0"/>
      <w:divBdr>
        <w:top w:val="none" w:sz="0" w:space="0" w:color="auto"/>
        <w:left w:val="none" w:sz="0" w:space="0" w:color="auto"/>
        <w:bottom w:val="none" w:sz="0" w:space="0" w:color="auto"/>
        <w:right w:val="none" w:sz="0" w:space="0" w:color="auto"/>
      </w:divBdr>
    </w:div>
    <w:div w:id="878207340">
      <w:bodyDiv w:val="1"/>
      <w:marLeft w:val="0"/>
      <w:marRight w:val="0"/>
      <w:marTop w:val="0"/>
      <w:marBottom w:val="0"/>
      <w:divBdr>
        <w:top w:val="none" w:sz="0" w:space="0" w:color="auto"/>
        <w:left w:val="none" w:sz="0" w:space="0" w:color="auto"/>
        <w:bottom w:val="none" w:sz="0" w:space="0" w:color="auto"/>
        <w:right w:val="none" w:sz="0" w:space="0" w:color="auto"/>
      </w:divBdr>
    </w:div>
    <w:div w:id="1025013582">
      <w:bodyDiv w:val="1"/>
      <w:marLeft w:val="0"/>
      <w:marRight w:val="0"/>
      <w:marTop w:val="0"/>
      <w:marBottom w:val="0"/>
      <w:divBdr>
        <w:top w:val="none" w:sz="0" w:space="0" w:color="auto"/>
        <w:left w:val="none" w:sz="0" w:space="0" w:color="auto"/>
        <w:bottom w:val="none" w:sz="0" w:space="0" w:color="auto"/>
        <w:right w:val="none" w:sz="0" w:space="0" w:color="auto"/>
      </w:divBdr>
    </w:div>
    <w:div w:id="1038432277">
      <w:bodyDiv w:val="1"/>
      <w:marLeft w:val="0"/>
      <w:marRight w:val="0"/>
      <w:marTop w:val="0"/>
      <w:marBottom w:val="0"/>
      <w:divBdr>
        <w:top w:val="none" w:sz="0" w:space="0" w:color="auto"/>
        <w:left w:val="none" w:sz="0" w:space="0" w:color="auto"/>
        <w:bottom w:val="none" w:sz="0" w:space="0" w:color="auto"/>
        <w:right w:val="none" w:sz="0" w:space="0" w:color="auto"/>
      </w:divBdr>
    </w:div>
    <w:div w:id="1165701017">
      <w:bodyDiv w:val="1"/>
      <w:marLeft w:val="0"/>
      <w:marRight w:val="0"/>
      <w:marTop w:val="0"/>
      <w:marBottom w:val="0"/>
      <w:divBdr>
        <w:top w:val="none" w:sz="0" w:space="0" w:color="auto"/>
        <w:left w:val="none" w:sz="0" w:space="0" w:color="auto"/>
        <w:bottom w:val="none" w:sz="0" w:space="0" w:color="auto"/>
        <w:right w:val="none" w:sz="0" w:space="0" w:color="auto"/>
      </w:divBdr>
    </w:div>
    <w:div w:id="1267736215">
      <w:bodyDiv w:val="1"/>
      <w:marLeft w:val="0"/>
      <w:marRight w:val="0"/>
      <w:marTop w:val="0"/>
      <w:marBottom w:val="0"/>
      <w:divBdr>
        <w:top w:val="none" w:sz="0" w:space="0" w:color="auto"/>
        <w:left w:val="none" w:sz="0" w:space="0" w:color="auto"/>
        <w:bottom w:val="none" w:sz="0" w:space="0" w:color="auto"/>
        <w:right w:val="none" w:sz="0" w:space="0" w:color="auto"/>
      </w:divBdr>
    </w:div>
    <w:div w:id="1278951307">
      <w:bodyDiv w:val="1"/>
      <w:marLeft w:val="0"/>
      <w:marRight w:val="0"/>
      <w:marTop w:val="0"/>
      <w:marBottom w:val="0"/>
      <w:divBdr>
        <w:top w:val="none" w:sz="0" w:space="0" w:color="auto"/>
        <w:left w:val="none" w:sz="0" w:space="0" w:color="auto"/>
        <w:bottom w:val="none" w:sz="0" w:space="0" w:color="auto"/>
        <w:right w:val="none" w:sz="0" w:space="0" w:color="auto"/>
      </w:divBdr>
    </w:div>
    <w:div w:id="1383752878">
      <w:bodyDiv w:val="1"/>
      <w:marLeft w:val="0"/>
      <w:marRight w:val="0"/>
      <w:marTop w:val="0"/>
      <w:marBottom w:val="0"/>
      <w:divBdr>
        <w:top w:val="none" w:sz="0" w:space="0" w:color="auto"/>
        <w:left w:val="none" w:sz="0" w:space="0" w:color="auto"/>
        <w:bottom w:val="none" w:sz="0" w:space="0" w:color="auto"/>
        <w:right w:val="none" w:sz="0" w:space="0" w:color="auto"/>
      </w:divBdr>
    </w:div>
    <w:div w:id="1539320938">
      <w:bodyDiv w:val="1"/>
      <w:marLeft w:val="0"/>
      <w:marRight w:val="0"/>
      <w:marTop w:val="0"/>
      <w:marBottom w:val="0"/>
      <w:divBdr>
        <w:top w:val="none" w:sz="0" w:space="0" w:color="auto"/>
        <w:left w:val="none" w:sz="0" w:space="0" w:color="auto"/>
        <w:bottom w:val="none" w:sz="0" w:space="0" w:color="auto"/>
        <w:right w:val="none" w:sz="0" w:space="0" w:color="auto"/>
      </w:divBdr>
    </w:div>
    <w:div w:id="1923635621">
      <w:bodyDiv w:val="1"/>
      <w:marLeft w:val="0"/>
      <w:marRight w:val="0"/>
      <w:marTop w:val="0"/>
      <w:marBottom w:val="0"/>
      <w:divBdr>
        <w:top w:val="none" w:sz="0" w:space="0" w:color="auto"/>
        <w:left w:val="none" w:sz="0" w:space="0" w:color="auto"/>
        <w:bottom w:val="none" w:sz="0" w:space="0" w:color="auto"/>
        <w:right w:val="none" w:sz="0" w:space="0" w:color="auto"/>
      </w:divBdr>
    </w:div>
    <w:div w:id="1983775218">
      <w:bodyDiv w:val="1"/>
      <w:marLeft w:val="0"/>
      <w:marRight w:val="0"/>
      <w:marTop w:val="0"/>
      <w:marBottom w:val="0"/>
      <w:divBdr>
        <w:top w:val="none" w:sz="0" w:space="0" w:color="auto"/>
        <w:left w:val="none" w:sz="0" w:space="0" w:color="auto"/>
        <w:bottom w:val="none" w:sz="0" w:space="0" w:color="auto"/>
        <w:right w:val="none" w:sz="0" w:space="0" w:color="auto"/>
      </w:divBdr>
    </w:div>
    <w:div w:id="2025135366">
      <w:bodyDiv w:val="1"/>
      <w:marLeft w:val="0"/>
      <w:marRight w:val="0"/>
      <w:marTop w:val="0"/>
      <w:marBottom w:val="0"/>
      <w:divBdr>
        <w:top w:val="none" w:sz="0" w:space="0" w:color="auto"/>
        <w:left w:val="none" w:sz="0" w:space="0" w:color="auto"/>
        <w:bottom w:val="none" w:sz="0" w:space="0" w:color="auto"/>
        <w:right w:val="none" w:sz="0" w:space="0" w:color="auto"/>
      </w:divBdr>
    </w:div>
    <w:div w:id="20480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lex.europa.eu/legal-content/EN/TXT/HTML/?uri=CELEX:32017R0746&amp;from=DE" TargetMode="External"/><Relationship Id="rId4" Type="http://schemas.openxmlformats.org/officeDocument/2006/relationships/settings" Target="settings.xml"/><Relationship Id="rId9" Type="http://schemas.openxmlformats.org/officeDocument/2006/relationships/hyperlink" Target="https://eur-lex.europa.eu/legal-content/EN/TXT/HTML/?uri=CELEX:32017R0746&amp;from=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6852C-0557-4F4D-991E-750B651C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5262</Words>
  <Characters>29994</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Uniklinik Bonn</Company>
  <LinksUpToDate>false</LinksUpToDate>
  <CharactersWithSpaces>35186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Dr. Jens</dc:creator>
  <cp:keywords/>
  <dc:description/>
  <cp:lastModifiedBy>Isabel Dombrink</cp:lastModifiedBy>
  <cp:revision>3</cp:revision>
  <dcterms:created xsi:type="dcterms:W3CDTF">2022-01-03T10:20:00Z</dcterms:created>
  <dcterms:modified xsi:type="dcterms:W3CDTF">2022-01-13T12:27:00Z</dcterms:modified>
</cp:coreProperties>
</file>